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28009" w:id="0"/>
    <w:bookmarkEnd w:id="0"/>
    <w:bookmarkStart w:name="f-28009-1" w:id="1"/>
    <w:p>
      <w:pPr>
        <w:pStyle w:val="Heading1"/>
      </w:pPr>
      <w:bookmarkStart w:name="h-28009-1" w:id="2"/>
      <w:r>
        <w:rPr/>
        <w:t xml:space="preserve">0434p LYSAGHT cladding ‑ facade panels</w:t>
      </w:r>
      <w:bookmarkEnd w:id="2"/>
    </w:p>
    <w:bookmarkEnd w:id="1"/>
    <w:bookmarkStart w:name="f-28009-28009.1" w:id="3"/>
    <w:p>
      <w:pPr>
        <w:pStyle w:val="InstructionsHeading4"/>
      </w:pPr>
      <w:bookmarkStart w:name="h-28009-28009.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LYSAGHT </w:t>
      </w:r>
      <w:r>
        <w:rPr/>
        <w:t xml:space="preserve">(the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28009-t2-1" w:id="5"/>
    <w:p>
      <w:pPr>
        <w:pStyle w:val="InstructionsHeading4"/>
      </w:pPr>
      <w:bookmarkStart w:name="h-28009-t2-1" w:id="6"/>
      <w:r>
        <w:rPr/>
        <w:t xml:space="preserve">Worksection abstract</w:t>
      </w:r>
      <w:bookmarkEnd w:id="6"/>
    </w:p>
    <w:p>
      <w:pPr>
        <w:pStyle w:val="Instructions"/>
      </w:pPr>
      <w:r>
        <w:rPr/>
        <w:t xml:space="preserve">This branded worksection </w:t>
      </w:r>
      <w:r>
        <w:rPr>
          <w:i/>
        </w:rPr>
        <w:t xml:space="preserve">Template</w:t>
      </w:r>
      <w:r>
        <w:rPr/>
        <w:t xml:space="preserve"> is applicable to lightweight external wall cladding of LYSAGHT AZURE and HORIZON flat panel rainscreen facade products.</w:t>
      </w:r>
    </w:p>
    <w:bookmarkEnd w:id="5"/>
    <w:bookmarkStart w:name="f-28009-3" w:id="7"/>
    <w:p>
      <w:pPr>
        <w:pStyle w:val="InstructionsHeading4"/>
      </w:pPr>
      <w:bookmarkStart w:name="h-28009-3" w:id="8"/>
      <w:r>
        <w:rPr/>
        <w:t xml:space="preserve">Background</w:t>
      </w:r>
      <w:bookmarkEnd w:id="8"/>
    </w:p>
    <w:p>
      <w:pPr>
        <w:pStyle w:val="Instructions"/>
      </w:pPr>
      <w:r>
        <w:rPr/>
        <w:t xml:space="preserve">The Australian profiled sheet steel industry is organised as follows:</w:t>
      </w:r>
    </w:p>
    <w:p>
      <w:pPr>
        <w:pStyle w:val="Instructionsindent"/>
      </w:pPr>
      <w:r>
        <w:rPr/>
        <w:t xml:space="preserve">BlueScope manufactures COLORBOND</w:t>
      </w:r>
      <w:r>
        <w:rPr>
          <w:vertAlign w:val="superscript"/>
        </w:rPr>
        <w:t xml:space="preserve">®</w:t>
      </w:r>
      <w:r>
        <w:rPr/>
        <w:t xml:space="preserve"> prepainted steel and ZINCALUME</w:t>
      </w:r>
      <w:r>
        <w:rPr>
          <w:vertAlign w:val="superscript"/>
        </w:rPr>
        <w:t xml:space="preserve">®</w:t>
      </w:r>
      <w:r>
        <w:rPr/>
        <w:t xml:space="preserve"> steel coils.</w:t>
      </w:r>
    </w:p>
    <w:p>
      <w:pPr>
        <w:pStyle w:val="Instructionsindent"/>
      </w:pPr>
      <w:r>
        <w:rPr/>
        <w:t xml:space="preserve">LYSAGHT use steel coils and proprietary machinery to shape steel into different profiles and cut sheets to length.</w:t>
      </w:r>
    </w:p>
    <w:p>
      <w:pPr>
        <w:pStyle w:val="Instructionsindent"/>
      </w:pPr>
      <w:r>
        <w:rPr/>
        <w:t xml:space="preserve">Installers take off material quantities, order and install, often as subcontractors to the contractor.</w:t>
      </w:r>
    </w:p>
    <w:bookmarkEnd w:id="7"/>
    <w:bookmarkStart w:name="f-28009-t3"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28009-t3-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0182 Fire-stopping</w:t>
      </w:r>
      <w:r>
        <w:rPr/>
        <w:t xml:space="preserve">.</w:t>
      </w:r>
    </w:p>
    <w:p>
      <w:pPr>
        <w:pStyle w:val="Instructionsindent"/>
      </w:pPr>
      <w:r>
        <w:rPr>
          <w:i/>
        </w:rPr>
        <w:t xml:space="preserve">0331 Brick and block construction</w:t>
      </w:r>
      <w:r>
        <w:rPr/>
        <w:t xml:space="preserve"> for brick veneer.</w:t>
      </w:r>
    </w:p>
    <w:p>
      <w:pPr>
        <w:pStyle w:val="Instructionsindent"/>
      </w:pPr>
      <w:r>
        <w:rPr>
          <w:i/>
        </w:rPr>
        <w:t xml:space="preserve">0342 Light steel framing</w:t>
      </w:r>
      <w:r>
        <w:rPr/>
        <w:t xml:space="preserve"> for subframing.</w:t>
      </w:r>
    </w:p>
    <w:p>
      <w:pPr>
        <w:pStyle w:val="Instructionsindent"/>
      </w:pPr>
      <w:r>
        <w:rPr>
          <w:i/>
        </w:rPr>
        <w:t xml:space="preserve">0382 Light timber framing</w:t>
      </w:r>
      <w:r>
        <w:rPr/>
        <w:t xml:space="preserve"> for subframing.</w:t>
      </w:r>
    </w:p>
    <w:p>
      <w:pPr>
        <w:pStyle w:val="Instructionsindent"/>
      </w:pPr>
      <w:r>
        <w:rPr>
          <w:i/>
        </w:rPr>
        <w:t xml:space="preserve">0471 Thermal insulation and pliable membranes</w:t>
      </w:r>
      <w:r>
        <w:rPr/>
        <w:t xml:space="preserve"> for wall insulation, thermal break strips and vapour permeable membranes.</w:t>
      </w:r>
    </w:p>
    <w:p>
      <w:pPr>
        <w:pStyle w:val="Instructionsindent"/>
      </w:pPr>
      <w:r>
        <w:rPr>
          <w:i/>
        </w:rPr>
        <w:t xml:space="preserve">0511 Lining</w:t>
      </w:r>
      <w:r>
        <w:rPr/>
        <w:t xml:space="preserve"> for internal lightweight linings.</w:t>
      </w:r>
    </w:p>
    <w:p>
      <w:pPr>
        <w:pStyle w:val="Instructionsindent"/>
      </w:pPr>
      <w:r>
        <w:rPr>
          <w:i/>
        </w:rPr>
        <w:t xml:space="preserve">0530 Suspended ceilings - combined</w:t>
      </w:r>
      <w:r>
        <w:rPr/>
        <w:t xml:space="preserve"> for suspended soffits.</w:t>
      </w:r>
    </w:p>
    <w:p>
      <w:pPr>
        <w:pStyle w:val="Instructionsindent"/>
      </w:pPr>
      <w:r>
        <w:rPr>
          <w:i/>
        </w:rPr>
        <w:t xml:space="preserve">0671 Painting</w:t>
      </w:r>
      <w:r>
        <w:rPr/>
        <w:t xml:space="preserve"> for in situ paint finishes.</w:t>
      </w:r>
    </w:p>
    <w:p>
      <w:pPr>
        <w:pStyle w:val="Instructionsindent"/>
      </w:pPr>
      <w:r>
        <w:rPr>
          <w:i/>
        </w:rPr>
        <w:t xml:space="preserve">0672 Textured and membrane coatings</w:t>
      </w:r>
      <w:r>
        <w:rPr/>
        <w:t xml:space="preserve"> for in situ application of membrane and surface coatings.</w:t>
      </w:r>
    </w:p>
    <w:p>
      <w:pPr>
        <w:pStyle w:val="Instructions"/>
      </w:pPr>
      <w:r>
        <w:rPr/>
        <w:t xml:space="preserve">Each of the following worksections contains a single cladding system and may be used if appropriate in addition to this worksection:</w:t>
      </w:r>
    </w:p>
    <w:p>
      <w:pPr>
        <w:pStyle w:val="Instructionsindent"/>
      </w:pPr>
      <w:r>
        <w:rPr>
          <w:i/>
        </w:rPr>
        <w:t xml:space="preserve">0432 Curtain walls</w:t>
      </w:r>
      <w:r>
        <w:rPr/>
        <w:t xml:space="preserve">.</w:t>
      </w:r>
    </w:p>
    <w:p>
      <w:pPr>
        <w:pStyle w:val="Instructionsindent"/>
      </w:pPr>
      <w:r>
        <w:rPr>
          <w:i/>
        </w:rPr>
        <w:t xml:space="preserve">0433 Stone cladding</w:t>
      </w:r>
      <w:r>
        <w:rPr/>
        <w:t xml:space="preserve">.</w:t>
      </w:r>
    </w:p>
    <w:p>
      <w:pPr>
        <w:pStyle w:val="Instructionsindent"/>
      </w:pPr>
      <w:r>
        <w:rPr>
          <w:i/>
        </w:rPr>
        <w:t xml:space="preserve">0435 Cladding - planks and weatherboards</w:t>
      </w:r>
      <w:r>
        <w:rPr/>
        <w:t xml:space="preserve">.</w:t>
      </w:r>
    </w:p>
    <w:p>
      <w:pPr>
        <w:pStyle w:val="Instructionsindent"/>
      </w:pPr>
      <w:r>
        <w:rPr>
          <w:i/>
        </w:rPr>
        <w:t xml:space="preserve">0436 Cladding - profiled and seamed sheet metal</w:t>
      </w:r>
      <w:r>
        <w:rPr/>
        <w:t xml:space="preserve">.</w:t>
      </w:r>
    </w:p>
    <w:p>
      <w:pPr>
        <w:pStyle w:val="Instructionsindent"/>
      </w:pPr>
      <w:r>
        <w:rPr>
          <w:i/>
        </w:rPr>
        <w:t xml:space="preserve">0437 Cladding - insulated panel systems</w:t>
      </w:r>
      <w:r>
        <w:rPr/>
        <w:t xml:space="preserve">.</w:t>
      </w:r>
    </w:p>
    <w:p>
      <w:pPr>
        <w:pStyle w:val="Instructions"/>
      </w:pPr>
      <w:r>
        <w:rPr/>
        <w:t xml:space="preserve">Related branded worksections include:</w:t>
      </w:r>
    </w:p>
    <w:p>
      <w:pPr>
        <w:pStyle w:val="Instructionsindent"/>
      </w:pPr>
      <w:r>
        <w:rPr>
          <w:i/>
        </w:rPr>
        <w:t xml:space="preserve">0341p LYSAGHT purlins and girts in structural steelwork</w:t>
      </w:r>
      <w:r>
        <w:rPr/>
        <w:t xml:space="preserve">.</w:t>
      </w:r>
    </w:p>
    <w:p>
      <w:pPr>
        <w:pStyle w:val="Instructionsindent"/>
      </w:pPr>
      <w:r>
        <w:rPr>
          <w:i/>
        </w:rPr>
        <w:t xml:space="preserve">0423p LYSAGHT roofing - profiled sheet metal</w:t>
      </w:r>
      <w:r>
        <w:rPr/>
        <w:t xml:space="preserve">.</w:t>
      </w:r>
    </w:p>
    <w:p>
      <w:pPr>
        <w:pStyle w:val="Instructionsindent"/>
      </w:pPr>
      <w:r>
        <w:rPr>
          <w:i/>
        </w:rPr>
        <w:t xml:space="preserve">0436p LYSAGHT wall cladding - profiled sheet metal</w:t>
      </w:r>
      <w:r>
        <w:rPr/>
        <w:t xml:space="preserve">.</w:t>
      </w:r>
    </w:p>
    <w:bookmarkEnd w:id="13"/>
    <w:bookmarkStart w:name="f-28009-t6-1" w:id="17"/>
    <w:p>
      <w:pPr>
        <w:pStyle w:val="InstructionsHeading4"/>
      </w:pPr>
      <w:bookmarkStart w:name="h-28009-t6-1" w:id="18"/>
      <w:r>
        <w:rPr/>
        <w:t xml:space="preserve">Documenting this and related work</w:t>
      </w:r>
      <w:bookmarkEnd w:id="18"/>
    </w:p>
    <w:p>
      <w:pPr>
        <w:pStyle w:val="Instructions"/>
      </w:pPr>
      <w:r>
        <w:rPr/>
        <w:t xml:space="preserve">You may document this and related work as follows:</w:t>
      </w:r>
    </w:p>
    <w:p>
      <w:pPr>
        <w:pStyle w:val="Instructionsindent"/>
      </w:pPr>
      <w:r>
        <w:rPr/>
        <w:t xml:space="preserve">Check if your cladding is required to be non‑combustible, refer to BCA (2025) Section C and </w:t>
      </w:r>
      <w:r>
        <w:rPr>
          <w:i/>
        </w:rPr>
        <w:t xml:space="preserve">ABCB Fire performance of external walls and cladding advisory note (2020)</w:t>
      </w:r>
      <w:r>
        <w:rPr/>
        <w:t xml:space="preserve">. Consider adding a requirement in </w:t>
      </w:r>
      <w:r>
        <w:rPr>
          <w:b/>
        </w:rPr>
        <w:t xml:space="preserve">SUBMISSIONS</w:t>
      </w:r>
      <w:r>
        <w:rPr/>
        <w:t xml:space="preserve"> for evidence of conformance from the contractor. If using a Performance Solution for facade cladding, type testing to AS 5113 (2016) may be used as the verification method for external walls.</w:t>
      </w:r>
    </w:p>
    <w:p>
      <w:pPr>
        <w:pStyle w:val="Instructionsindent"/>
      </w:pPr>
      <w:r>
        <w:rPr/>
        <w:t xml:space="preserve">Weatherproofing: Conform to BCA (2025) F1D15 for Class 2 to Class 9 buildings or BCA (2025) H2D6 for Class 1 and 10 buildings. Alternatively, document a Performance Solution. Consider adding a requirement for evidence of conformance from the contractor. Refer to NATSPEC TECHnote DES 044 for information on weatherproofing of external walls.</w:t>
      </w:r>
    </w:p>
    <w:p>
      <w:pPr>
        <w:pStyle w:val="Instructionsindent"/>
      </w:pPr>
      <w:r>
        <w:rPr/>
        <w:t xml:space="preserve">Document the structural support system to your office documentation policy.</w:t>
      </w:r>
    </w:p>
    <w:p>
      <w:pPr>
        <w:pStyle w:val="Instructionsindent"/>
      </w:pPr>
      <w:r>
        <w:rPr/>
        <w:t xml:space="preserve">Locate the extent of cladding types, accessories and finishes on drawings to your office documentation policy.</w:t>
      </w:r>
    </w:p>
    <w:p>
      <w:pPr>
        <w:pStyle w:val="Instructionsindent"/>
      </w:pPr>
      <w:r>
        <w:rPr/>
        <w:t xml:space="preserve">Penetrations: Show on the drawings the location and extent of penetrations for services and structural elements including flashing details.</w:t>
      </w:r>
    </w:p>
    <w:p>
      <w:pPr>
        <w:pStyle w:val="Instructionsindent"/>
      </w:pPr>
      <w:r>
        <w:rPr/>
        <w:t xml:space="preserve">Document the location of openings and penetrations to avoid waste and panel handling times.</w:t>
      </w:r>
    </w:p>
    <w:p>
      <w:pPr>
        <w:pStyle w:val="Instructionsindent"/>
      </w:pPr>
      <w:r>
        <w:rPr/>
        <w:t xml:space="preserve">For flush jointed fibre cement soffit lining import the relevant material from </w:t>
      </w:r>
      <w:r>
        <w:rPr>
          <w:i/>
        </w:rPr>
        <w:t xml:space="preserve">0511 Lining</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Check lead time for imported selections and consider adding a requirement, in </w:t>
      </w:r>
      <w:r>
        <w:rPr>
          <w:b/>
        </w:rPr>
        <w:t xml:space="preserve">SUBMISSIONS</w:t>
      </w:r>
      <w:r>
        <w:rPr/>
        <w:t xml:space="preserve">, for the contractor to confirm availability.</w:t>
      </w:r>
    </w:p>
    <w:bookmarkStart w:name="f-28358" w:id="19"/>
    <w:bookmarkStart w:name="f-28358-2" w:id="20"/>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0"/>
    <w:bookmarkEnd w:id="19"/>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p>
      <w:pPr>
        <w:pStyle w:val="Instructions"/>
      </w:pPr>
      <w:r>
        <w:rPr/>
        <w:t xml:space="preserve">For example:</w:t>
      </w:r>
    </w:p>
    <w:p>
      <w:pPr>
        <w:pStyle w:val="Instructionsindent"/>
      </w:pPr>
      <w:r>
        <w:rPr/>
        <w:t xml:space="preserve">Location of control joints.</w:t>
      </w:r>
    </w:p>
    <w:bookmarkStart w:name="f-6972" w:id="23"/>
    <w:bookmarkStart w:name="f-6972-1" w:id="24"/>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4"/>
    <w:bookmarkEnd w:id="23"/>
    <w:p>
      <w:pPr>
        <w:pStyle w:val="Instructionsindent"/>
      </w:pPr>
      <w:r>
        <w:rPr/>
        <w:t xml:space="preserve">Guarantees and warranties.</w:t>
      </w:r>
    </w:p>
    <w:p>
      <w:pPr>
        <w:pStyle w:val="Instructionsindent"/>
      </w:pPr>
      <w:r>
        <w:rPr/>
        <w:t xml:space="preserve">Site planning and design for bushfire.</w:t>
      </w:r>
    </w:p>
    <w:bookmarkEnd w:id="17"/>
    <w:bookmarkStart w:name="f-28009-t7-1" w:id="25"/>
    <w:p>
      <w:pPr>
        <w:pStyle w:val="InstructionsHeading4"/>
      </w:pPr>
      <w:bookmarkStart w:name="h-28009-t7-1" w:id="26"/>
      <w:r>
        <w:rPr/>
        <w:t xml:space="preserve">Specifying ESD</w:t>
      </w:r>
      <w:bookmarkEnd w:id="26"/>
    </w:p>
    <w:p>
      <w:pPr>
        <w:pStyle w:val="Instructions"/>
      </w:pPr>
      <w:r>
        <w:rPr/>
        <w:t xml:space="preserve">The following may be specified by including additional text:</w:t>
      </w:r>
    </w:p>
    <w:p>
      <w:pPr>
        <w:pStyle w:val="Instructionsindent"/>
      </w:pPr>
      <w:r>
        <w:rPr/>
        <w:t xml:space="preserve">Metal cladding manufactured from recycled metal and/or is recyclable.</w:t>
      </w:r>
    </w:p>
    <w:p>
      <w:pPr>
        <w:pStyle w:val="Instructionsindent"/>
      </w:pPr>
      <w:r>
        <w:rPr/>
        <w:t xml:space="preserve">Metal cladding finished with low VOC or non‑VOC finish.</w:t>
      </w:r>
    </w:p>
    <w:p>
      <w:pPr>
        <w:pStyle w:val="Instructions"/>
      </w:pPr>
      <w:r>
        <w:rPr/>
        <w:t xml:space="preserve">Refer to NATSPEC TECHreport TR 01 on specifying ESD.</w:t>
      </w:r>
    </w:p>
    <w:bookmarkEnd w:id="25"/>
    <w:bookmarkStart w:name="f-28009-2" w:id="27"/>
    <w:bookmarkStart w:name="f-28005" w:id="28"/>
    <w:bookmarkStart w:name="f-28005-1" w:id="29"/>
    <w:p>
      <w:pPr>
        <w:pStyle w:val="Heading2"/>
      </w:pPr>
      <w:bookmarkStart w:name="h-28005-1" w:id="30"/>
      <w:r>
        <w:rPr/>
        <w:t xml:space="preserve">GENERAL</w:t>
      </w:r>
      <w:bookmarkEnd w:id="30"/>
    </w:p>
    <w:bookmarkEnd w:id="29"/>
    <w:bookmarkStart w:name="f-28005-28005.1" w:id="31"/>
    <w:p>
      <w:pPr>
        <w:pStyle w:val="Instructions"/>
      </w:pPr>
      <w:r>
        <w:rPr/>
        <w:t xml:space="preserve">LYSAGHT has a proven track record supplying quality steel roofing, walling, rainwater, fencing, home improvement and structural products. Made from 100% Australian steel, our products are extensively performance‑tested, come with a BlueScope warranty, and offer our customers confidence and peace of mind.</w:t>
      </w:r>
    </w:p>
    <w:p>
      <w:pPr>
        <w:pStyle w:val="Instructions"/>
      </w:pPr>
      <w:r>
        <w:rPr/>
        <w:t xml:space="preserve">Our quality products are only part of our unique offer ‑ our commitment to genuine, helpful customer service, and unmatched technical support and expertise has helped us become the trusted experience in steel.</w:t>
      </w:r>
    </w:p>
    <w:bookmarkEnd w:id="31"/>
    <w:bookmarkStart w:name="f-28005-2" w:id="32"/>
    <w:p>
      <w:pPr>
        <w:pStyle w:val="Heading3"/>
      </w:pPr>
      <w:bookmarkStart w:name="h-28005-2" w:id="33"/>
      <w:r>
        <w:rPr/>
        <w:t xml:space="preserve">RESPONSIBILITIES</w:t>
      </w:r>
      <w:bookmarkEnd w:id="33"/>
    </w:p>
    <w:bookmarkEnd w:id="32"/>
    <w:bookmarkStart w:name="f-28005-3" w:id="34"/>
    <w:p>
      <w:pPr>
        <w:pStyle w:val="Heading4"/>
      </w:pPr>
      <w:bookmarkStart w:name="h-28005-3" w:id="35"/>
      <w:r>
        <w:rPr/>
        <w:t xml:space="preserve">General</w:t>
      </w:r>
      <w:bookmarkEnd w:id="35"/>
    </w:p>
    <w:p>
      <w:pPr>
        <w:pStyle w:val="Body Text"/>
      </w:pPr>
      <w:r>
        <w:rPr/>
        <w:t xml:space="preserve">Requirement: Provide LYSAGHT external wall cladding and associated work, as documented.</w:t>
      </w:r>
    </w:p>
    <w:bookmarkStart w:name="f-23055" w:id="36"/>
    <w:bookmarkStart w:name="f-23055-1" w:id="37"/>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7"/>
    <w:bookmarkEnd w:id="36"/>
    <w:bookmarkEnd w:id="34"/>
    <w:bookmarkStart w:name="f-28005-4" w:id="38"/>
    <w:bookmarkStart w:name="f-8658" w:id="39"/>
    <w:bookmarkStart w:name="f-8658-1" w:id="40"/>
    <w:p>
      <w:pPr>
        <w:pStyle w:val="Heading4"/>
      </w:pPr>
      <w:bookmarkStart w:name="h-8658-1" w:id="41"/>
      <w:r>
        <w:rPr/>
        <w:t xml:space="preserve">Corrosion resistance</w:t>
      </w:r>
      <w:bookmarkEnd w:id="41"/>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0"/>
    <w:bookmarkEnd w:id="39"/>
    <w:bookmarkEnd w:id="38"/>
    <w:bookmarkStart w:name="f-28005-28005.3" w:id="42"/>
    <w:p>
      <w:pPr>
        <w:pStyle w:val="Heading3"/>
      </w:pPr>
      <w:bookmarkStart w:name="h-28005-28005.3" w:id="43"/>
      <w:r>
        <w:rPr/>
        <w:t xml:space="preserve">COMPANY CONTACTS</w:t>
      </w:r>
      <w:bookmarkEnd w:id="43"/>
    </w:p>
    <w:bookmarkEnd w:id="42"/>
    <w:bookmarkStart w:name="f-28005-28005.2" w:id="44"/>
    <w:p>
      <w:pPr>
        <w:pStyle w:val="Heading4"/>
      </w:pPr>
      <w:bookmarkStart w:name="h-28005-28005.2" w:id="45"/>
      <w:r>
        <w:rPr/>
        <w:t xml:space="preserve">LYSAGHT technical contacts</w:t>
      </w:r>
      <w:bookmarkEnd w:id="45"/>
    </w:p>
    <w:p>
      <w:pPr>
        <w:pStyle w:val="Body Text"/>
      </w:pPr>
      <w:r>
        <w:rPr/>
        <w:t xml:space="preserve">Website: </w:t>
      </w:r>
      <w:r>
        <w:fldChar w:fldCharType="begin"/>
      </w:r>
      <w:r>
        <w:instrText xml:space="preserve"> HYPERLINK "https://lysaght.com/contact" </w:instrText>
      </w:r>
      <w:r>
        <w:fldChar w:fldCharType="separate"/>
      </w:r>
      <w:r>
        <w:rPr>
          <w:rStyle w:val="Hyperlink"/>
        </w:rPr>
        <w:t>lysaght.com/contact</w:t>
      </w:r>
      <w:r>
        <w:fldChar w:fldCharType="end"/>
      </w:r>
    </w:p>
    <w:bookmarkEnd w:id="44"/>
    <w:bookmarkStart w:name="f-28005-5" w:id="46"/>
    <w:p>
      <w:pPr>
        <w:pStyle w:val="Heading3"/>
      </w:pPr>
      <w:bookmarkStart w:name="h-28005-5" w:id="47"/>
      <w:r>
        <w:rPr/>
        <w:t xml:space="preserve">CROSS REFERENCES</w:t>
      </w:r>
      <w:bookmarkEnd w:id="47"/>
    </w:p>
    <w:bookmarkEnd w:id="46"/>
    <w:bookmarkStart w:name="f-28005-6" w:id="48"/>
    <w:bookmarkStart w:name="f-7977" w:id="49"/>
    <w:bookmarkStart w:name="f-7977-1" w:id="50"/>
    <w:p>
      <w:pPr>
        <w:pStyle w:val="Heading4"/>
      </w:pPr>
      <w:bookmarkStart w:name="h-7977-1" w:id="51"/>
      <w:r>
        <w:rPr/>
        <w:t xml:space="preserve">General</w:t>
      </w:r>
      <w:bookmarkEnd w:id="51"/>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0"/>
    <w:bookmarkEnd w:id="49"/>
    <w:bookmarkEnd w:id="48"/>
    <w:bookmarkStart w:name="f-28005-19" w:id="52"/>
    <w:p>
      <w:pPr>
        <w:pStyle w:val="Heading3"/>
      </w:pPr>
      <w:bookmarkStart w:name="h-28005-19" w:id="53"/>
      <w:r>
        <w:rPr/>
        <w:t xml:space="preserve">STANDARDS</w:t>
      </w:r>
      <w:bookmarkEnd w:id="53"/>
    </w:p>
    <w:bookmarkEnd w:id="52"/>
    <w:bookmarkStart w:name="f-28005-18" w:id="54"/>
    <w:p>
      <w:pPr>
        <w:pStyle w:val="Heading4"/>
      </w:pPr>
      <w:bookmarkStart w:name="h-28005-18" w:id="55"/>
      <w:r>
        <w:rPr/>
        <w:t xml:space="preserve">General</w:t>
      </w:r>
      <w:bookmarkEnd w:id="55"/>
    </w:p>
    <w:p>
      <w:pPr>
        <w:pStyle w:val="Body Text"/>
      </w:pPr>
      <w:r>
        <w:rPr/>
        <w:t xml:space="preserve">Standard: To AS 1562.1 (2018).</w:t>
      </w:r>
    </w:p>
    <w:bookmarkEnd w:id="54"/>
    <w:bookmarkStart w:name="f-28005-22" w:id="56"/>
    <w:p>
      <w:pPr>
        <w:pStyle w:val="Heading3"/>
      </w:pPr>
      <w:bookmarkStart w:name="h-28005-22" w:id="57"/>
      <w:r>
        <w:rPr/>
        <w:t xml:space="preserve">INTERPRETATION</w:t>
      </w:r>
      <w:bookmarkEnd w:id="57"/>
    </w:p>
    <w:bookmarkEnd w:id="56"/>
    <w:bookmarkStart w:name="f-28005-20" w:id="58"/>
    <w:p>
      <w:pPr>
        <w:pStyle w:val="Heading4"/>
      </w:pPr>
      <w:bookmarkStart w:name="h-28005-20" w:id="59"/>
      <w:r>
        <w:rPr/>
        <w:t xml:space="preserve">Definitions</w:t>
      </w:r>
      <w:bookmarkEnd w:id="59"/>
    </w:p>
    <w:p>
      <w:pPr>
        <w:pStyle w:val="Body Text"/>
      </w:pPr>
      <w:r>
        <w:rPr/>
        <w:t xml:space="preserve">General: For the purposes of this worksection, the definitions given in AS 1562.1 (2018) apply.</w:t>
      </w:r>
    </w:p>
    <w:bookmarkStart w:name="f-7220" w:id="60"/>
    <w:bookmarkStart w:name="f-7220-1" w:id="61"/>
    <w:p>
      <w:pPr>
        <w:pStyle w:val="Instructions"/>
      </w:pPr>
      <w:r>
        <w:rPr/>
        <w:t xml:space="preserve">Edit the </w:t>
      </w:r>
      <w:r>
        <w:rPr>
          <w:b/>
        </w:rPr>
        <w:t xml:space="preserve">Definitions</w:t>
      </w:r>
      <w:r>
        <w:rPr/>
        <w:t xml:space="preserve"> subclause to suit the project or delete if not required. List alphabetically.</w:t>
      </w:r>
    </w:p>
    <w:bookmarkEnd w:id="61"/>
    <w:bookmarkEnd w:id="60"/>
    <w:bookmarkEnd w:id="58"/>
    <w:bookmarkStart w:name="f-28005-28005.5" w:id="62"/>
    <w:p>
      <w:pPr>
        <w:pStyle w:val="Heading3"/>
      </w:pPr>
      <w:bookmarkStart w:name="h-28005-28005.5" w:id="63"/>
      <w:r>
        <w:rPr/>
        <w:t xml:space="preserve">MANUFACTURER'S DOCUMENTS</w:t>
      </w:r>
      <w:bookmarkEnd w:id="63"/>
    </w:p>
    <w:bookmarkEnd w:id="62"/>
    <w:bookmarkStart w:name="f-28005-28005.4" w:id="64"/>
    <w:p>
      <w:pPr>
        <w:pStyle w:val="Heading4"/>
      </w:pPr>
      <w:bookmarkStart w:name="h-28005-28005.4" w:id="65"/>
      <w:r>
        <w:rPr/>
        <w:t xml:space="preserve">Technical manuals</w:t>
      </w:r>
      <w:bookmarkEnd w:id="65"/>
    </w:p>
    <w:p>
      <w:pPr>
        <w:pStyle w:val="Body Text"/>
      </w:pPr>
      <w:r>
        <w:rPr/>
        <w:t xml:space="preserve">Website: </w:t>
      </w:r>
      <w:r>
        <w:fldChar w:fldCharType="begin"/>
      </w:r>
      <w:r>
        <w:instrText xml:space="preserve"> HYPERLINK "https://lysaght.com/support-technical/downloads" </w:instrText>
      </w:r>
      <w:r>
        <w:fldChar w:fldCharType="separate"/>
      </w:r>
      <w:r>
        <w:rPr>
          <w:rStyle w:val="Hyperlink"/>
        </w:rPr>
        <w:t>lysaght.com/support‑technical/downloads</w:t>
      </w:r>
      <w:r>
        <w:fldChar w:fldCharType="end"/>
      </w:r>
    </w:p>
    <w:bookmarkEnd w:id="64"/>
    <w:bookmarkStart w:name="f-28005-7" w:id="66"/>
    <w:p>
      <w:pPr>
        <w:pStyle w:val="Heading3"/>
      </w:pPr>
      <w:bookmarkStart w:name="h-28005-7" w:id="67"/>
      <w:r>
        <w:rPr/>
        <w:t xml:space="preserve">TOLERANCES</w:t>
      </w:r>
      <w:bookmarkEnd w:id="67"/>
    </w:p>
    <w:bookmarkEnd w:id="66"/>
    <w:bookmarkStart w:name="f-28005-8" w:id="68"/>
    <w:p>
      <w:pPr>
        <w:pStyle w:val="Heading4"/>
      </w:pPr>
      <w:bookmarkStart w:name="h-28005-8" w:id="69"/>
      <w:r>
        <w:rPr/>
        <w:t xml:space="preserve">Permitted deviations</w:t>
      </w:r>
      <w:bookmarkEnd w:id="69"/>
    </w:p>
    <w:p>
      <w:pPr>
        <w:pStyle w:val="Body Text"/>
      </w:pPr>
      <w:r>
        <w:rPr/>
        <w:t xml:space="preserve">Requirement: To AS 1562.1 (2018) clause 4.2.3 and LYSAGHT recommendations.</w:t>
      </w:r>
    </w:p>
    <w:bookmarkEnd w:id="68"/>
    <w:bookmarkStart w:name="f-28005-9" w:id="70"/>
    <w:p>
      <w:pPr>
        <w:pStyle w:val="Heading3"/>
      </w:pPr>
      <w:bookmarkStart w:name="h-28005-9" w:id="71"/>
      <w:r>
        <w:rPr/>
        <w:t xml:space="preserve">SUBMISSIONS</w:t>
      </w:r>
      <w:bookmarkEnd w:id="71"/>
    </w:p>
    <w:bookmarkEnd w:id="70"/>
    <w:bookmarkStart w:name="f-28005-28005.6" w:id="72"/>
    <w:p>
      <w:pPr>
        <w:pStyle w:val="Heading4"/>
      </w:pPr>
      <w:bookmarkStart w:name="h-28005-28005.6" w:id="73"/>
      <w:r>
        <w:rPr/>
        <w:t xml:space="preserve">Fire performance</w:t>
      </w:r>
      <w:bookmarkEnd w:id="73"/>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bookmarkEnd w:id="72"/>
    <w:bookmarkStart w:name="f-28005-10" w:id="74"/>
    <w:bookmarkStart w:name="f-6950" w:id="75"/>
    <w:bookmarkStart w:name="f-6950-1" w:id="76"/>
    <w:p>
      <w:pPr>
        <w:pStyle w:val="Heading4"/>
      </w:pPr>
      <w:bookmarkStart w:name="h-6950-1" w:id="77"/>
      <w:r>
        <w:rPr/>
        <w:t xml:space="preserve">Operation and maintenance manuals</w:t>
      </w:r>
      <w:bookmarkEnd w:id="77"/>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76"/>
    <w:bookmarkEnd w:id="75"/>
    <w:bookmarkEnd w:id="74"/>
    <w:bookmarkStart w:name="f-28005-11" w:id="78"/>
    <w:p>
      <w:pPr>
        <w:pStyle w:val="Heading4"/>
      </w:pPr>
      <w:bookmarkStart w:name="h-28005-11" w:id="79"/>
      <w:r>
        <w:rPr/>
        <w:t xml:space="preserve">Products and materials</w:t>
      </w:r>
      <w:bookmarkEnd w:id="79"/>
    </w:p>
    <w:p>
      <w:pPr>
        <w:pStyle w:val="Body Text"/>
      </w:pPr>
      <w:r>
        <w:rPr/>
        <w:t xml:space="preserve">Type tests: Submit test results for the following:</w:t>
      </w:r>
    </w:p>
    <w:p>
      <w:pPr>
        <w:pStyle w:val="NormalIndent"/>
      </w:pPr>
      <w:r>
        <w:rPr/>
        <w:t xml:space="preserve">Facade: To PRODUCTS, </w:t>
      </w:r>
      <w:r>
        <w:rPr>
          <w:b/>
        </w:rPr>
        <w:t xml:space="preserve">GENERAL</w:t>
      </w:r>
      <w:r>
        <w:rPr/>
        <w:t xml:space="preserve">, </w:t>
      </w:r>
      <w:r>
        <w:rPr>
          <w:b/>
        </w:rPr>
        <w:t xml:space="preserve">Tests</w:t>
      </w:r>
      <w:r>
        <w:rPr/>
        <w:t xml:space="preserve">.</w:t>
      </w:r>
    </w:p>
    <w:bookmarkStart w:name="f-8391" w:id="80"/>
    <w:bookmarkStart w:name="f-8391-1" w:id="81"/>
    <w:p>
      <w:pPr>
        <w:pStyle w:val="Instructions"/>
      </w:pPr>
      <w:r>
        <w:rPr/>
        <w:t xml:space="preserve">Type tests are carried out off site. However, submission of evidence of a successful type test may be called up here for requirements specified in PRODUCTS.</w:t>
      </w:r>
    </w:p>
    <w:bookmarkEnd w:id="81"/>
    <w:bookmarkEnd w:id="80"/>
    <w:bookmarkStart w:name="f-9369" w:id="82"/>
    <w:bookmarkStart w:name="f-9369-1" w:id="83"/>
    <w:p>
      <w:pPr>
        <w:pStyle w:val="OptionalNormal"/>
      </w:pPr>
      <w:r>
        <w:rPr/>
        <w:t xml:space="preserve">Evidence of delivery: Submit delivery docket as evidence of delivery of the following:</w:t>
      </w:r>
    </w:p>
    <w:p>
      <w:pPr>
        <w:pStyle w:val="OptionalNormalIndent"/>
      </w:pP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for particular products, consider including this </w:t>
      </w:r>
      <w:r>
        <w:rPr>
          <w:i/>
        </w:rPr>
        <w:t xml:space="preserve">Optional</w:t>
      </w:r>
      <w:r>
        <w:rPr/>
        <w:t xml:space="preserve"> style text by changing to </w:t>
      </w:r>
      <w:r>
        <w:rPr>
          <w:i/>
        </w:rPr>
        <w:t xml:space="preserve">Normal</w:t>
      </w:r>
      <w:r>
        <w:rPr/>
        <w:t xml:space="preserve"> style.</w:t>
      </w:r>
    </w:p>
    <w:bookmarkEnd w:id="83"/>
    <w:bookmarkEnd w:id="82"/>
    <w:p>
      <w:pPr>
        <w:pStyle w:val="Body Text"/>
      </w:pPr>
      <w:r>
        <w:rPr/>
        <w:t xml:space="preserve">Environmental Product Declaration (EPD): Submit an EPD to ISO 14025 (2006) with a Product Category Rule (PCR), used to calculate environmental impact indicators, to EN 15804 (2012) or ISO 21930 (2017).</w:t>
      </w:r>
    </w:p>
    <w:p>
      <w:pPr>
        <w:pStyle w:val="Instructions"/>
      </w:pPr>
      <w:r>
        <w:rPr/>
        <w:t xml:space="preserve">Nominate which products are required to have an EPD either here or in PRODUCTS.</w:t>
      </w:r>
    </w:p>
    <w:p>
      <w:pPr>
        <w:pStyle w:val="Instructions"/>
      </w:pPr>
      <w:r>
        <w:rPr/>
        <w:t xml:space="preserve">An EPD is an independently verified and registered document that quantifies environmental information on the life cycle of a product to enable comparisons between products fulfilling the same function. EPDs can support carbon emission reduction by allowing a fair and equitable comparison of the impacts of different materials and products within specific product categories.</w:t>
      </w:r>
    </w:p>
    <w:bookmarkEnd w:id="78"/>
    <w:bookmarkStart w:name="f-28005-12" w:id="84"/>
    <w:bookmarkStart w:name="f-18073" w:id="85"/>
    <w:bookmarkStart w:name="f-18073-1" w:id="86"/>
    <w:p>
      <w:pPr>
        <w:pStyle w:val="Heading4"/>
      </w:pPr>
      <w:bookmarkStart w:name="h-18073-1" w:id="87"/>
      <w:r>
        <w:rPr/>
        <w:t xml:space="preserve">Samples</w:t>
      </w:r>
      <w:bookmarkEnd w:id="87"/>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86"/>
    <w:bookmarkEnd w:id="85"/>
    <w:bookmarkEnd w:id="84"/>
    <w:bookmarkStart w:name="f-28005-23" w:id="88"/>
    <w:p>
      <w:pPr>
        <w:pStyle w:val="Heading4"/>
      </w:pPr>
      <w:bookmarkStart w:name="h-28005-23" w:id="89"/>
      <w:r>
        <w:rPr/>
        <w:t xml:space="preserve">Shop drawings</w:t>
      </w:r>
      <w:bookmarkEnd w:id="89"/>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acoustic insulation, suppression of impact noise, provisions for thermal movement, birdproofing flashing, thermal insulation, vapour barrier, control joint treatment, isolation of incompatible metals, access for maintenance.</w:t>
      </w:r>
    </w:p>
    <w:bookmarkEnd w:id="88"/>
    <w:bookmarkStart w:name="f-28005-14" w:id="90"/>
    <w:p>
      <w:pPr>
        <w:pStyle w:val="Heading4"/>
      </w:pPr>
      <w:bookmarkStart w:name="h-28005-14" w:id="91"/>
      <w:r>
        <w:rPr/>
        <w:t xml:space="preserve">Subcontractors</w:t>
      </w:r>
      <w:bookmarkEnd w:id="91"/>
    </w:p>
    <w:p>
      <w:pPr>
        <w:pStyle w:val="Body Text"/>
      </w:pPr>
      <w:r>
        <w:rPr/>
        <w:t xml:space="preserve">General: Submit names and contact details of proposed suppliers and installers.</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p>
    <w:p>
      <w:pPr>
        <w:pStyle w:val="Instructions"/>
      </w:pPr>
      <w:r>
        <w:rPr/>
        <w:t xml:space="preserve">e.g. Check conditions of warranty for panels selected. Delete if supplier/installer details are not required.</w:t>
      </w:r>
    </w:p>
    <w:bookmarkEnd w:id="90"/>
    <w:bookmarkStart w:name="f-28005-28005.8" w:id="92"/>
    <w:bookmarkStart w:name="f-13061-82" w:id="93"/>
    <w:p>
      <w:pPr>
        <w:pStyle w:val="Heading4"/>
      </w:pPr>
      <w:bookmarkStart w:name="h-13061-82" w:id="94"/>
      <w:r>
        <w:rPr/>
        <w:t xml:space="preserve">Substrate acceptance</w:t>
      </w:r>
      <w:bookmarkEnd w:id="94"/>
    </w:p>
    <w:p>
      <w:pPr>
        <w:pStyle w:val="Body Text"/>
      </w:pPr>
      <w:r>
        <w:rPr/>
        <w:t xml:space="preserve">Requirement: Submit evidence of installer's acceptance of the wall substrate or framing before starting installation.</w:t>
      </w:r>
    </w:p>
    <w:bookmarkEnd w:id="93"/>
    <w:bookmarkEnd w:id="92"/>
    <w:bookmarkStart w:name="f-28005-15" w:id="95"/>
    <w:bookmarkStart w:name="f-9452" w:id="96"/>
    <w:bookmarkStart w:name="f-9452-1" w:id="97"/>
    <w:p>
      <w:pPr>
        <w:pStyle w:val="Heading4"/>
      </w:pPr>
      <w:bookmarkStart w:name="h-9452-1" w:id="98"/>
      <w:r>
        <w:rPr/>
        <w:t xml:space="preserve">Warranties</w:t>
      </w:r>
      <w:bookmarkEnd w:id="98"/>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7"/>
    <w:bookmarkEnd w:id="96"/>
    <w:bookmarkEnd w:id="95"/>
    <w:bookmarkStart w:name="f-28005-16" w:id="99"/>
    <w:p>
      <w:pPr>
        <w:pStyle w:val="Heading3"/>
      </w:pPr>
      <w:bookmarkStart w:name="h-28005-16" w:id="100"/>
      <w:r>
        <w:rPr/>
        <w:t xml:space="preserve">INSPECTION</w:t>
      </w:r>
      <w:bookmarkEnd w:id="100"/>
    </w:p>
    <w:bookmarkEnd w:id="99"/>
    <w:bookmarkStart w:name="f-28005-17" w:id="101"/>
    <w:p>
      <w:pPr>
        <w:pStyle w:val="Heading4"/>
      </w:pPr>
      <w:bookmarkStart w:name="h-28005-17" w:id="102"/>
      <w:r>
        <w:rPr/>
        <w:t xml:space="preserve">Notice</w:t>
      </w:r>
      <w:bookmarkEnd w:id="102"/>
    </w:p>
    <w:p>
      <w:pPr>
        <w:pStyle w:val="Body Text"/>
      </w:pPr>
      <w:r>
        <w:rPr/>
        <w:t xml:space="preserve">Inspection: Give notice so that inspection may be made of the following:</w:t>
      </w:r>
    </w:p>
    <w:p>
      <w:pPr>
        <w:pStyle w:val="NormalIndent"/>
      </w:pPr>
      <w:r>
        <w:rPr/>
        <w:t xml:space="preserve">Framing, pliable membranes and insulation before covering up or concealing.</w:t>
      </w:r>
    </w:p>
    <w:bookmarkStart w:name="f-28195" w:id="103"/>
    <w:bookmarkStart w:name="f-28195-1" w:id="104"/>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4"/>
    <w:bookmarkEnd w:id="103"/>
    <w:bookmarkEnd w:id="101"/>
    <w:bookmarkEnd w:id="28"/>
    <w:bookmarkStart w:name="f-28004" w:id="105"/>
    <w:bookmarkStart w:name="f-28004-1" w:id="106"/>
    <w:p>
      <w:pPr>
        <w:pStyle w:val="Heading2"/>
      </w:pPr>
      <w:bookmarkStart w:name="h-28004-1" w:id="107"/>
      <w:r>
        <w:rPr/>
        <w:t xml:space="preserve">PRODUCTS</w:t>
      </w:r>
      <w:bookmarkEnd w:id="107"/>
    </w:p>
    <w:bookmarkEnd w:id="106"/>
    <w:bookmarkStart w:name="f-28004-2" w:id="108"/>
    <w:p>
      <w:pPr>
        <w:pStyle w:val="Heading3"/>
      </w:pPr>
      <w:bookmarkStart w:name="h-28004-2" w:id="109"/>
      <w:r>
        <w:rPr/>
        <w:t xml:space="preserve">GENERAL</w:t>
      </w:r>
      <w:bookmarkEnd w:id="109"/>
    </w:p>
    <w:bookmarkEnd w:id="108"/>
    <w:bookmarkStart w:name="f-28004-28004.1" w:id="110"/>
    <w:bookmarkStart w:name="f-8385" w:id="111"/>
    <w:bookmarkStart w:name="f-8385-2" w:id="112"/>
    <w:p>
      <w:pPr>
        <w:pStyle w:val="Heading4"/>
      </w:pPr>
      <w:bookmarkStart w:name="h-8385-2" w:id="113"/>
      <w:r>
        <w:rPr/>
        <w:t xml:space="preserve">Product substitution</w:t>
      </w:r>
      <w:bookmarkEnd w:id="113"/>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2"/>
    <w:bookmarkStart w:name="f-8385-3" w:id="114"/>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4"/>
    <w:bookmarkEnd w:id="111"/>
    <w:bookmarkEnd w:id="110"/>
    <w:bookmarkStart w:name="f-28004-28004.2" w:id="115"/>
    <w:bookmarkStart w:name="f-13182" w:id="116"/>
    <w:bookmarkStart w:name="f-13182-1" w:id="117"/>
    <w:p>
      <w:pPr>
        <w:pStyle w:val="Heading4"/>
      </w:pPr>
      <w:bookmarkStart w:name="h-13182-1" w:id="118"/>
      <w:r>
        <w:rPr/>
        <w:t xml:space="preserve">Product identification</w:t>
      </w:r>
      <w:bookmarkEnd w:id="118"/>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17"/>
    <w:bookmarkEnd w:id="116"/>
    <w:bookmarkEnd w:id="115"/>
    <w:bookmarkStart w:name="f-28004-13" w:id="119"/>
    <w:p>
      <w:pPr>
        <w:pStyle w:val="Heading4"/>
      </w:pPr>
      <w:bookmarkStart w:name="h-28004-13" w:id="120"/>
      <w:r>
        <w:rPr/>
        <w:t xml:space="preserve">Samples</w:t>
      </w:r>
      <w:bookmarkEnd w:id="120"/>
    </w:p>
    <w:p>
      <w:pPr>
        <w:pStyle w:val="Instructions"/>
      </w:pPr>
      <w:r>
        <w:rPr/>
        <w:t xml:space="preserve">Approved samples that define the acceptable limits of colour and texture variations are retained on site. If particular or additional samples are required, list them here.</w:t>
      </w:r>
    </w:p>
    <w:p>
      <w:pPr>
        <w:pStyle w:val="Body Text"/>
      </w:pPr>
      <w:r>
        <w:rPr/>
        <w:t xml:space="preserve">Requirement: Provide samples of the following, showing the range of variation available:</w:t>
      </w:r>
    </w:p>
    <w:p>
      <w:pPr>
        <w:pStyle w:val="NormalIndent"/>
      </w:pPr>
      <w:r>
        <w:rPr/>
        <w:t xml:space="preserve">Cladding material.</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Profiled sheet metal cladding: </w:t>
      </w:r>
    </w:p>
    <w:p>
      <w:pPr>
        <w:pStyle w:val="NormalIndent2"/>
      </w:pPr>
      <w:r>
        <w:rPr/>
        <w:t xml:space="preserve">Finishes.</w:t>
      </w:r>
    </w:p>
    <w:p>
      <w:pPr>
        <w:pStyle w:val="NormalIndent2"/>
      </w:pPr>
      <w:r>
        <w:rPr/>
        <w:t xml:space="preserve">Sealants.</w:t>
      </w:r>
    </w:p>
    <w:bookmarkEnd w:id="119"/>
    <w:bookmarkStart w:name="f-28004-3" w:id="121"/>
    <w:p>
      <w:pPr>
        <w:pStyle w:val="Heading4"/>
      </w:pPr>
      <w:bookmarkStart w:name="h-28004-3" w:id="122"/>
      <w:r>
        <w:rPr/>
        <w:t xml:space="preserve">Storage and handling</w:t>
      </w:r>
      <w:bookmarkEnd w:id="122"/>
    </w:p>
    <w:p>
      <w:pPr>
        <w:pStyle w:val="Body Text"/>
      </w:pPr>
      <w:r>
        <w:rPr/>
        <w:t xml:space="preserve">Requirement: Store and handle materials to the manufacturer's recommendations and the following:</w:t>
      </w:r>
    </w:p>
    <w:p>
      <w:pPr>
        <w:pStyle w:val="NormalIndent"/>
      </w:pPr>
      <w:r>
        <w:rPr/>
        <w:t xml:space="preserve">Protect materials including edges and surfaces from damage.</w:t>
      </w:r>
    </w:p>
    <w:p>
      <w:pPr>
        <w:pStyle w:val="NormalIndent"/>
      </w:pPr>
      <w:r>
        <w:rPr/>
        <w:t xml:space="preserve">Keep clean, dry and unexposed to weather.</w:t>
      </w:r>
    </w:p>
    <w:p>
      <w:pPr>
        <w:pStyle w:val="NormalIndent"/>
      </w:pPr>
      <w:r>
        <w:rPr/>
        <w:t xml:space="preserve">Do not drag panels across each other or over other materials.</w:t>
      </w:r>
    </w:p>
    <w:p>
      <w:pPr>
        <w:pStyle w:val="NormalIndent"/>
      </w:pPr>
      <w:r>
        <w:rPr/>
        <w:t xml:space="preserve">Sheeting: Stack flat and off the ground on at least 3 evenly placed bearers.</w:t>
      </w:r>
    </w:p>
    <w:p>
      <w:pPr>
        <w:pStyle w:val="NormalIndent"/>
      </w:pPr>
      <w:r>
        <w:rPr/>
        <w:t xml:space="preserve">Store metal materials away from uncured concrete and masonry on a level base.</w:t>
      </w:r>
    </w:p>
    <w:p>
      <w:pPr>
        <w:pStyle w:val="NormalIndent"/>
      </w:pPr>
      <w:r>
        <w:rPr/>
        <w:t xml:space="preserve">Do not store metal materials in contact with other materials that may cause staining, denting or other surface damage.</w:t>
      </w:r>
    </w:p>
    <w:p>
      <w:pPr>
        <w:pStyle w:val="NormalIndent"/>
      </w:pPr>
      <w:r>
        <w:rPr/>
        <w:t xml:space="preserve">Use gloves when handling metal cladding material.</w:t>
      </w:r>
    </w:p>
    <w:bookmarkEnd w:id="121"/>
    <w:bookmarkStart w:name="f-28004-14" w:id="123"/>
    <w:bookmarkStart w:name="f-13081-23" w:id="124"/>
    <w:p>
      <w:pPr>
        <w:pStyle w:val="Heading4"/>
      </w:pPr>
      <w:bookmarkStart w:name="h-13081-23" w:id="125"/>
      <w:r>
        <w:rPr/>
        <w:t xml:space="preserve">Tests</w:t>
      </w:r>
      <w:bookmarkEnd w:id="125"/>
    </w:p>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24"/>
    <w:bookmarkEnd w:id="123"/>
    <w:bookmarkStart w:name="f-28004-28004.6" w:id="126"/>
    <w:p>
      <w:pPr>
        <w:pStyle w:val="Heading3"/>
      </w:pPr>
      <w:bookmarkStart w:name="h-28004-28004.6" w:id="127"/>
      <w:r>
        <w:rPr/>
        <w:t xml:space="preserve">FIRE PERFORMANCE</w:t>
      </w:r>
      <w:bookmarkEnd w:id="127"/>
    </w:p>
    <w:bookmarkEnd w:id="126"/>
    <w:bookmarkStart w:name="f-28004-28004.5" w:id="128"/>
    <w:p>
      <w:pPr>
        <w:pStyle w:val="Heading4"/>
      </w:pPr>
      <w:bookmarkStart w:name="h-28004-28004.5" w:id="129"/>
      <w:r>
        <w:rPr/>
        <w:t xml:space="preserve">Fire hazard properties</w:t>
      </w:r>
      <w:bookmarkEnd w:id="129"/>
    </w:p>
    <w:p>
      <w:pPr>
        <w:pStyle w:val="Instructions"/>
      </w:pPr>
      <w:r>
        <w:rPr/>
        <w:t xml:space="preserve">See BCA (2025) C2D10 for non‑combustible building element requirements. BCA (2025) C2D10(6)(e) notes that prefinished metal sheeting having a combustible surface finish not exceeding 1 mm thickness and if the Spread‑of‑Flame Index of the product is not more than 0 may be used wherever a non‑combustible material is required.</w:t>
      </w:r>
    </w:p>
    <w:p>
      <w:pPr>
        <w:pStyle w:val="Body Text"/>
      </w:pPr>
      <w:r>
        <w:rPr/>
        <w:t xml:space="preserve">Cladding: Spread‑of‑Flame Index of 0 when tested to AS/NZS 1530.3 (1999).</w:t>
      </w:r>
    </w:p>
    <w:p>
      <w:pPr>
        <w:pStyle w:val="Body Text"/>
      </w:pPr>
      <w:r>
        <w:rPr/>
        <w:t xml:space="preserve">Pliable membranes: Flammability Index no more than 5 when tested to AS 1530.2 (1993).</w:t>
      </w:r>
    </w:p>
    <w:p>
      <w:pPr>
        <w:pStyle w:val="Instructions"/>
      </w:pPr>
      <w:r>
        <w:rPr/>
        <w:t xml:space="preserve">Flammability Index is determined under AS 1530.2 (1993).</w:t>
      </w:r>
    </w:p>
    <w:p>
      <w:pPr>
        <w:pStyle w:val="Instructions"/>
      </w:pPr>
      <w:r>
        <w:rPr/>
        <w:t xml:space="preserve">Pliable membranes are tested to AS 1530.2 (1993) as they are not suitable for testing to AS/NZS 1530.3 (1999).</w:t>
      </w:r>
    </w:p>
    <w:bookmarkEnd w:id="128"/>
    <w:bookmarkStart w:name="f-28004-28004.8" w:id="130"/>
    <w:p>
      <w:pPr>
        <w:pStyle w:val="Heading3"/>
      </w:pPr>
      <w:bookmarkStart w:name="h-28004-28004.8" w:id="131"/>
      <w:r>
        <w:rPr/>
        <w:t xml:space="preserve">RAINSCREEN SUBSTRATES</w:t>
      </w:r>
      <w:bookmarkEnd w:id="131"/>
    </w:p>
    <w:bookmarkEnd w:id="130"/>
    <w:bookmarkStart w:name="f-28004-28004.7" w:id="132"/>
    <w:p>
      <w:pPr>
        <w:pStyle w:val="Heading4"/>
      </w:pPr>
      <w:bookmarkStart w:name="h-28004-28004.7" w:id="133"/>
      <w:r>
        <w:rPr/>
        <w:t xml:space="preserve">Steel battens</w:t>
      </w:r>
      <w:bookmarkEnd w:id="133"/>
    </w:p>
    <w:p>
      <w:pPr>
        <w:pStyle w:val="Body Text"/>
      </w:pPr>
      <w:r>
        <w:rPr/>
        <w:t xml:space="preserve">Standard: To AS/NZS 4600 (2018) and LYSAGHT recommendations.</w:t>
      </w:r>
    </w:p>
    <w:p>
      <w:pPr>
        <w:pStyle w:val="Instructions"/>
      </w:pPr>
      <w:r>
        <w:rPr/>
        <w:t xml:space="preserve">Steel battens are an alternative substrate to plywood sheeting. Delete if plywood sheeting is used.</w:t>
      </w:r>
    </w:p>
    <w:bookmarkEnd w:id="132"/>
    <w:bookmarkStart w:name="f-28004-28004.4" w:id="134"/>
    <w:p>
      <w:pPr>
        <w:pStyle w:val="Heading4"/>
      </w:pPr>
      <w:bookmarkStart w:name="h-28004-28004.4" w:id="135"/>
      <w:r>
        <w:rPr/>
        <w:t xml:space="preserve">Pliable membranes</w:t>
      </w:r>
      <w:bookmarkEnd w:id="135"/>
    </w:p>
    <w:p>
      <w:pPr>
        <w:pStyle w:val="Instructions"/>
      </w:pPr>
      <w:r>
        <w:rPr/>
        <w:t xml:space="preserve">If pliable membranes are specified in </w:t>
      </w:r>
      <w:r>
        <w:rPr>
          <w:i/>
        </w:rPr>
        <w:t xml:space="preserve">0471 Thermal insulation and pliable membranes</w:t>
      </w:r>
      <w:r>
        <w:rPr/>
        <w:t xml:space="preserve">, delete this subclause. Do not repeat requirements here.</w:t>
      </w:r>
    </w:p>
    <w:p>
      <w:pPr>
        <w:pStyle w:val="Body Text"/>
      </w:pPr>
      <w:r>
        <w:rPr/>
        <w:t xml:space="preserve">Standard: To AS 4200.1 (2017).</w:t>
      </w:r>
    </w:p>
    <w:p>
      <w:pPr>
        <w:pStyle w:val="Body Text"/>
      </w:pPr>
      <w:r>
        <w:rPr/>
        <w:t xml:space="preserve">Product: Vapour permeable membranes, tapes and fastenings to manufacturer's and LYSAGHT recommendations.</w:t>
      </w:r>
    </w:p>
    <w:p>
      <w:pPr>
        <w:pStyle w:val="Instructions"/>
      </w:pPr>
      <w:r>
        <w:rPr/>
        <w:t xml:space="preserve">AS 4200.1 (2017) Table 4 categorises vapour control membranes (VCMs) as vapour barriers when classified Class 1 or Class 2, and vapour permeable membranes when classified Class 3 or Class 4.</w:t>
      </w:r>
    </w:p>
    <w:bookmarkEnd w:id="134"/>
    <w:bookmarkStart w:name="f-28004-28004.9" w:id="136"/>
    <w:p>
      <w:pPr>
        <w:pStyle w:val="Heading3"/>
      </w:pPr>
      <w:bookmarkStart w:name="h-28004-28004.9" w:id="137"/>
      <w:r>
        <w:rPr/>
        <w:t xml:space="preserve">LYSAGHT FACADE PANEL METAL CLADDING</w:t>
      </w:r>
      <w:bookmarkEnd w:id="137"/>
    </w:p>
    <w:bookmarkEnd w:id="136"/>
    <w:bookmarkStart w:name="f-28004-28004.3" w:id="138"/>
    <w:p>
      <w:pPr>
        <w:pStyle w:val="Heading4"/>
      </w:pPr>
      <w:bookmarkStart w:name="h-28004-28004.3" w:id="139"/>
      <w:r>
        <w:rPr/>
        <w:t xml:space="preserve">General</w:t>
      </w:r>
      <w:bookmarkEnd w:id="139"/>
    </w:p>
    <w:p>
      <w:pPr>
        <w:pStyle w:val="Body Text"/>
      </w:pPr>
      <w:r>
        <w:rPr/>
        <w:t xml:space="preserve">Proprietary facade panel cladding: LYSAGHT AZURE or LYSAGHT HORIZON series facade cladding.</w:t>
      </w:r>
    </w:p>
    <w:p>
      <w:pPr>
        <w:pStyle w:val="Body Text"/>
      </w:pPr>
      <w:r>
        <w:rPr/>
        <w:t xml:space="preserve">Design and installation: To AS 1562.1 (2018).</w:t>
      </w:r>
    </w:p>
    <w:p>
      <w:pPr>
        <w:pStyle w:val="Body Text"/>
      </w:pPr>
      <w:r>
        <w:rPr/>
        <w:t xml:space="preserve">Selection: To the </w:t>
      </w:r>
      <w:r>
        <w:rPr>
          <w:b/>
        </w:rPr>
        <w:t xml:space="preserve">LYSAGHT facade panel metal cladding schedule</w:t>
      </w:r>
      <w:r>
        <w:rPr/>
        <w:t xml:space="preserve">.</w:t>
      </w:r>
    </w:p>
    <w:bookmarkEnd w:id="138"/>
    <w:bookmarkStart w:name="f-28004-16" w:id="140"/>
    <w:p>
      <w:pPr>
        <w:pStyle w:val="Heading3"/>
      </w:pPr>
      <w:bookmarkStart w:name="h-28004-16" w:id="141"/>
      <w:r>
        <w:rPr/>
        <w:t xml:space="preserve">COMPONENTS</w:t>
      </w:r>
      <w:bookmarkEnd w:id="141"/>
    </w:p>
    <w:bookmarkEnd w:id="140"/>
    <w:bookmarkStart w:name="f-28004-15" w:id="142"/>
    <w:p>
      <w:pPr>
        <w:pStyle w:val="Heading4"/>
      </w:pPr>
      <w:bookmarkStart w:name="h-28004-15" w:id="143"/>
      <w:r>
        <w:rPr/>
        <w:t xml:space="preserve">Fastenings</w:t>
      </w:r>
      <w:bookmarkEnd w:id="143"/>
    </w:p>
    <w:p>
      <w:pPr>
        <w:pStyle w:val="Body Text"/>
      </w:pPr>
      <w:r>
        <w:rPr/>
        <w:t xml:space="preserve">Type, size, corrosion resistance class and spacing: To LYSAGHT recommendations.</w:t>
      </w:r>
    </w:p>
    <w:p>
      <w:pPr>
        <w:pStyle w:val="Instructions"/>
      </w:pPr>
      <w:r>
        <w:rPr/>
        <w:t xml:space="preserve">Refer to LYSAGHT AZURE or HORIZON installation manuals and BlueScope TB‑16 (2023) guide on selecting fasteners for cladding installation.</w:t>
      </w:r>
    </w:p>
    <w:p>
      <w:pPr>
        <w:pStyle w:val="Body Text"/>
      </w:pPr>
      <w:r>
        <w:rPr/>
        <w:t xml:space="preserve">Finish for exposed fasteners on coloured cladding: Prefinish exposed fasteners with an oven baked polymer coating to match the cladding material.</w:t>
      </w:r>
    </w:p>
    <w:bookmarkEnd w:id="142"/>
    <w:bookmarkStart w:name="f-28004-17" w:id="144"/>
    <w:p>
      <w:pPr>
        <w:pStyle w:val="Heading4"/>
      </w:pPr>
      <w:bookmarkStart w:name="h-28004-17" w:id="145"/>
      <w:r>
        <w:rPr/>
        <w:t xml:space="preserve">LYSAGHT flashings and cappings</w:t>
      </w:r>
      <w:bookmarkEnd w:id="145"/>
    </w:p>
    <w:p>
      <w:pPr>
        <w:pStyle w:val="Body Text"/>
      </w:pPr>
      <w:r>
        <w:rPr/>
        <w:t xml:space="preserve">Requirement: To AS 1562.1 (2018) and AS/NZS 2904 (1995).</w:t>
      </w:r>
    </w:p>
    <w:p>
      <w:pPr>
        <w:pStyle w:val="Instructions"/>
      </w:pPr>
      <w:r>
        <w:rPr/>
        <w:t xml:space="preserve">Coordinate with </w:t>
      </w:r>
      <w:r>
        <w:rPr>
          <w:i/>
        </w:rPr>
        <w:t xml:space="preserve">0423p LYSAGHT roofing - profiled sheet metal</w:t>
      </w:r>
      <w:r>
        <w:rPr/>
        <w:t xml:space="preserve">.</w:t>
      </w:r>
    </w:p>
    <w:bookmarkEnd w:id="144"/>
    <w:bookmarkEnd w:id="105"/>
    <w:bookmarkStart w:name="f-28008" w:id="146"/>
    <w:bookmarkStart w:name="f-28008-1" w:id="147"/>
    <w:p>
      <w:pPr>
        <w:pStyle w:val="Heading2"/>
      </w:pPr>
      <w:bookmarkStart w:name="h-28008-1" w:id="148"/>
      <w:r>
        <w:rPr/>
        <w:t xml:space="preserve">EXECUTION</w:t>
      </w:r>
      <w:bookmarkEnd w:id="148"/>
    </w:p>
    <w:bookmarkEnd w:id="147"/>
    <w:bookmarkStart w:name="f-28008-2" w:id="149"/>
    <w:p>
      <w:pPr>
        <w:pStyle w:val="Heading3"/>
      </w:pPr>
      <w:bookmarkStart w:name="h-28008-2" w:id="150"/>
      <w:r>
        <w:rPr/>
        <w:t xml:space="preserve">GENERAL</w:t>
      </w:r>
      <w:bookmarkEnd w:id="150"/>
    </w:p>
    <w:bookmarkEnd w:id="149"/>
    <w:bookmarkStart w:name="f-28008-3" w:id="151"/>
    <w:p>
      <w:pPr>
        <w:pStyle w:val="Heading4"/>
      </w:pPr>
      <w:bookmarkStart w:name="h-28008-3" w:id="152"/>
      <w:r>
        <w:rPr/>
        <w:t xml:space="preserve">Preparation</w:t>
      </w:r>
      <w:bookmarkEnd w:id="152"/>
    </w:p>
    <w:p>
      <w:pPr>
        <w:pStyle w:val="Body Text"/>
      </w:pPr>
      <w:r>
        <w:rPr/>
        <w:t xml:space="preserve">Substrates or framing: Before fixing cladding, check the alignment of substrates or framing and adjust if required.</w:t>
      </w:r>
    </w:p>
    <w:p>
      <w:pPr>
        <w:pStyle w:val="Body Text"/>
      </w:pPr>
      <w:r>
        <w:rPr/>
        <w:t xml:space="preserve">Flexible underlay/membranes: Check that the underlay/membranes or insulation is restrained and undamaged.</w:t>
      </w:r>
    </w:p>
    <w:p>
      <w:pPr>
        <w:pStyle w:val="Body Text"/>
      </w:pPr>
      <w:r>
        <w:rPr/>
        <w:t xml:space="preserve">Cladding: Make sure the cladding is clean and free of dust and loose particles.</w:t>
      </w:r>
    </w:p>
    <w:bookmarkEnd w:id="151"/>
    <w:bookmarkStart w:name="f-28008-28008.2" w:id="153"/>
    <w:p>
      <w:pPr>
        <w:pStyle w:val="Heading4"/>
      </w:pPr>
      <w:bookmarkStart w:name="h-28008-28008.2" w:id="154"/>
      <w:r>
        <w:rPr/>
        <w:t xml:space="preserve">Steel battens</w:t>
      </w:r>
      <w:bookmarkEnd w:id="154"/>
    </w:p>
    <w:p>
      <w:pPr>
        <w:pStyle w:val="Body Text"/>
      </w:pPr>
      <w:r>
        <w:rPr/>
        <w:t xml:space="preserve">Requirement: Provide battens suitable for span, spacing and proposed roofing material, as documented.</w:t>
      </w:r>
    </w:p>
    <w:bookmarkEnd w:id="153"/>
    <w:bookmarkStart w:name="f-28008-28008.1" w:id="155"/>
    <w:p>
      <w:pPr>
        <w:pStyle w:val="Heading4"/>
      </w:pPr>
      <w:bookmarkStart w:name="h-28008-28008.1" w:id="156"/>
      <w:r>
        <w:rPr/>
        <w:t xml:space="preserve">Pliable membranes</w:t>
      </w:r>
      <w:bookmarkEnd w:id="156"/>
    </w:p>
    <w:p>
      <w:pPr>
        <w:pStyle w:val="Body Text"/>
      </w:pPr>
      <w:r>
        <w:rPr/>
        <w:t xml:space="preserve">Installation: To AS 4200.2 (2017) and LYSAGHT recommendations.</w:t>
      </w:r>
    </w:p>
    <w:p>
      <w:pPr>
        <w:pStyle w:val="Instructions"/>
      </w:pPr>
      <w:r>
        <w:rPr/>
        <w:t xml:space="preserve">Refer to AS 4200.2 (2017) Table 2.6 for duty classification and allowable usage for the application and level of support. Refer to the </w:t>
      </w:r>
      <w:r>
        <w:rPr>
          <w:i/>
        </w:rPr>
        <w:t xml:space="preserve">ABCB Condensation in buildings handbook (2023)</w:t>
      </w:r>
      <w:r>
        <w:rPr/>
        <w:t xml:space="preserve"> for information on condensation and use of vapour barriers, vapour permeable membranes and sarking.</w:t>
      </w:r>
    </w:p>
    <w:p>
      <w:pPr>
        <w:pStyle w:val="Instructions"/>
      </w:pPr>
      <w:r>
        <w:rPr/>
        <w:t xml:space="preserve">Make sure wall cavities are also drained and ventilated in conformance with LYSAGHT recommendations.</w:t>
      </w:r>
    </w:p>
    <w:bookmarkEnd w:id="155"/>
    <w:bookmarkStart w:name="f-28008-4" w:id="157"/>
    <w:p>
      <w:pPr>
        <w:pStyle w:val="Heading4"/>
      </w:pPr>
      <w:bookmarkStart w:name="h-28008-4" w:id="158"/>
      <w:r>
        <w:rPr/>
        <w:t xml:space="preserve">Installation</w:t>
      </w:r>
      <w:bookmarkEnd w:id="158"/>
    </w:p>
    <w:p>
      <w:pPr>
        <w:pStyle w:val="Instructions"/>
      </w:pPr>
      <w:r>
        <w:rPr/>
        <w:t xml:space="preserve">Document a ventilated cavity/rainscreen construction to conform to the manufacturer's recommendations. Document a certified system or a project based Performance Solution.</w:t>
      </w:r>
    </w:p>
    <w:p>
      <w:pPr>
        <w:pStyle w:val="Body Text"/>
      </w:pPr>
      <w:r>
        <w:rPr/>
        <w:t xml:space="preserve">Facade panel installation: To AS 1562.1 (2018).</w:t>
      </w:r>
    </w:p>
    <w:p>
      <w:pPr>
        <w:pStyle w:val="Body Text"/>
      </w:pPr>
      <w:r>
        <w:rPr/>
        <w:t xml:space="preserve">Requirement: To LYSAGHT recommendations and the following:</w:t>
      </w:r>
    </w:p>
    <w:p>
      <w:pPr>
        <w:pStyle w:val="NormalIndent"/>
      </w:pPr>
      <w:r>
        <w:rPr/>
        <w:t xml:space="preserve">Fix panels firmly against framing to the manufacturer's recommendations.</w:t>
      </w:r>
    </w:p>
    <w:p>
      <w:pPr>
        <w:pStyle w:val="NormalIndent"/>
      </w:pPr>
      <w:r>
        <w:rPr/>
        <w:t xml:space="preserve">Plumb, level, straight and to documented tolerances.</w:t>
      </w:r>
    </w:p>
    <w:p>
      <w:pPr>
        <w:pStyle w:val="NormalIndent"/>
      </w:pPr>
      <w:r>
        <w:rPr/>
        <w:t xml:space="preserve">Fixed or anchored to the building structure in conformance with the wind action loading recommendations.</w:t>
      </w:r>
    </w:p>
    <w:p>
      <w:pPr>
        <w:pStyle w:val="NormalIndent"/>
      </w:pPr>
      <w:r>
        <w:rPr/>
        <w:t xml:space="preserve">Isolated from any building loads, including loads caused by structural deflection or shortening.</w:t>
      </w:r>
    </w:p>
    <w:p>
      <w:pPr>
        <w:pStyle w:val="NormalIndent"/>
      </w:pPr>
      <w:r>
        <w:rPr/>
        <w:t xml:space="preserve">Allow for thermal movement.</w:t>
      </w:r>
    </w:p>
    <w:p>
      <w:pPr>
        <w:pStyle w:val="NormalIndent"/>
      </w:pPr>
      <w:r>
        <w:rPr/>
        <w:t xml:space="preserve">Provide documented ventilation and drainage pathways.</w:t>
      </w:r>
    </w:p>
    <w:p>
      <w:pPr>
        <w:pStyle w:val="Instructions"/>
      </w:pPr>
      <w:r>
        <w:rPr/>
        <w:t xml:space="preserve">Provide for expansion and contraction of components. Temperature change due to climatic conditions must not cause harmful buckling, opening of joints, undue stress on fastening and anchors, noise or other defects.</w:t>
      </w:r>
    </w:p>
    <w:p>
      <w:pPr>
        <w:pStyle w:val="Body Text"/>
      </w:pPr>
      <w:r>
        <w:rPr/>
        <w:t xml:space="preserve">Cladding layout: Install cladding to suit the layout as documented.</w:t>
      </w:r>
    </w:p>
    <w:p>
      <w:pPr>
        <w:pStyle w:val="Instructions"/>
      </w:pPr>
      <w:r>
        <w:rPr/>
        <w:t xml:space="preserve">Document the location of openings and penetrations to avoid waste and minimise panel handling times.</w:t>
      </w:r>
    </w:p>
    <w:p>
      <w:pPr>
        <w:pStyle w:val="Body Text"/>
      </w:pPr>
      <w:r>
        <w:rPr/>
        <w:t xml:space="preserve">Protection: Protect surfaces and finishes, and retain protective film during installation.</w:t>
      </w:r>
    </w:p>
    <w:bookmarkEnd w:id="157"/>
    <w:bookmarkStart w:name="f-28008-6" w:id="159"/>
    <w:bookmarkStart w:name="f-2_13061-83" w:id="160"/>
    <w:p>
      <w:pPr>
        <w:pStyle w:val="Heading4"/>
      </w:pPr>
      <w:bookmarkStart w:name="h-2_13061-83" w:id="161"/>
      <w:r>
        <w:rPr/>
        <w:t xml:space="preserve">Accessories and trim</w:t>
      </w:r>
      <w:bookmarkEnd w:id="161"/>
    </w:p>
    <w:p>
      <w:pPr>
        <w:pStyle w:val="Body Text"/>
      </w:pPr>
      <w:r>
        <w:rPr/>
        <w:t xml:space="preserve">Requirement: Provide accessories, flashings and trim required to complete the installation.</w:t>
      </w:r>
    </w:p>
    <w:bookmarkEnd w:id="160"/>
    <w:bookmarkEnd w:id="159"/>
    <w:bookmarkStart w:name="f-28008-7" w:id="162"/>
    <w:bookmarkStart w:name="f-3_13061-61" w:id="163"/>
    <w:p>
      <w:pPr>
        <w:pStyle w:val="Heading4"/>
      </w:pPr>
      <w:bookmarkStart w:name="h-3_13061-61" w:id="164"/>
      <w:r>
        <w:rPr/>
        <w:t xml:space="preserve">Metal separation</w:t>
      </w:r>
      <w:bookmarkEnd w:id="164"/>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either of the following methods:</w:t>
      </w:r>
    </w:p>
    <w:p>
      <w:pPr>
        <w:pStyle w:val="NormalIndent"/>
      </w:pPr>
      <w:r>
        <w:rPr/>
        <w:t xml:space="preserve">Apply an anti‑corrosion, low moisture transmission coating to contact surfaces.</w:t>
      </w:r>
    </w:p>
    <w:p>
      <w:pPr>
        <w:pStyle w:val="NormalIndent"/>
      </w:pPr>
      <w:r>
        <w:rPr/>
        <w:t xml:space="preserve">Insert a separation layer.</w:t>
      </w:r>
    </w:p>
    <w:p>
      <w:pPr>
        <w:pStyle w:val="Body Text"/>
      </w:pPr>
      <w:r>
        <w:rPr/>
        <w:t xml:space="preserve">Incompatible metal fastenings: Do not use.</w:t>
      </w:r>
    </w:p>
    <w:bookmarkEnd w:id="163"/>
    <w:bookmarkEnd w:id="162"/>
    <w:bookmarkStart w:name="f-28008-9" w:id="165"/>
    <w:bookmarkStart w:name="f-4_13061-63" w:id="166"/>
    <w:p>
      <w:pPr>
        <w:pStyle w:val="Heading4"/>
      </w:pPr>
      <w:bookmarkStart w:name="h-4_13061-63" w:id="167"/>
      <w:r>
        <w:rPr/>
        <w:t xml:space="preserve">Defective and damaged parts</w:t>
      </w:r>
      <w:bookmarkEnd w:id="167"/>
    </w:p>
    <w:p>
      <w:pPr>
        <w:pStyle w:val="Body Text"/>
      </w:pPr>
      <w:r>
        <w:rPr/>
        <w:t xml:space="preserve">Defective components: Do not install component parts that are defective, including warped, bowed, dented, chipped, scratched, abraded or broken members.</w:t>
      </w:r>
    </w:p>
    <w:bookmarkEnd w:id="166"/>
    <w:bookmarkEnd w:id="165"/>
    <w:bookmarkStart w:name="f-28008-10" w:id="168"/>
    <w:p>
      <w:pPr>
        <w:pStyle w:val="Heading3"/>
      </w:pPr>
      <w:bookmarkStart w:name="h-28008-10" w:id="169"/>
      <w:r>
        <w:rPr/>
        <w:t xml:space="preserve">LYSAGHT FACADE PANEL METAL CLADDING</w:t>
      </w:r>
      <w:bookmarkEnd w:id="169"/>
    </w:p>
    <w:bookmarkEnd w:id="168"/>
    <w:bookmarkStart w:name="f-28008-11" w:id="170"/>
    <w:p>
      <w:pPr>
        <w:pStyle w:val="Heading4"/>
      </w:pPr>
      <w:bookmarkStart w:name="h-28008-11" w:id="171"/>
      <w:r>
        <w:rPr/>
        <w:t xml:space="preserve">Installation</w:t>
      </w:r>
      <w:bookmarkEnd w:id="171"/>
    </w:p>
    <w:p>
      <w:pPr>
        <w:pStyle w:val="Body Text"/>
      </w:pPr>
      <w:r>
        <w:rPr/>
        <w:t xml:space="preserve">Standard: To AS 1562.1 (2018).</w:t>
      </w:r>
    </w:p>
    <w:p>
      <w:pPr>
        <w:pStyle w:val="Body Text"/>
      </w:pPr>
      <w:r>
        <w:rPr/>
        <w:t xml:space="preserve">LYSAGHT AZURE and HORIZON series facade cladding: Install to the manufacturer's recommendations.</w:t>
      </w:r>
    </w:p>
    <w:p>
      <w:pPr>
        <w:pStyle w:val="Instructions"/>
      </w:pPr>
      <w:r>
        <w:rPr/>
        <w:t xml:space="preserve">Refer to LYSAGHT AZURE or HORIZON installation manuals and BlueScope TB‑16 (2023) guide on selecting fasteners for cladding installation.</w:t>
      </w:r>
    </w:p>
    <w:p>
      <w:pPr>
        <w:pStyle w:val="Body Text"/>
      </w:pPr>
      <w:r>
        <w:rPr/>
        <w:t xml:space="preserve">Ground clearance: Maintain documented clearance.</w:t>
      </w:r>
    </w:p>
    <w:p>
      <w:pPr>
        <w:pStyle w:val="Body Text"/>
      </w:pPr>
      <w:r>
        <w:rPr/>
        <w:t xml:space="preserve">Cutting panels: Wherever possible, factory cut to length. Do not use an abrasion disc.</w:t>
      </w:r>
    </w:p>
    <w:p>
      <w:pPr>
        <w:pStyle w:val="Body Text"/>
      </w:pPr>
      <w:r>
        <w:rPr/>
        <w:t xml:space="preserve">Accessories: Provide material with the same finish as cladding panels.</w:t>
      </w:r>
    </w:p>
    <w:p>
      <w:pPr>
        <w:pStyle w:val="Body Text"/>
      </w:pPr>
      <w:r>
        <w:rPr/>
        <w:t xml:space="preserve">Swarf: Remove swarf and other debris as soon as it is deposited.</w:t>
      </w:r>
    </w:p>
    <w:bookmarkEnd w:id="170"/>
    <w:bookmarkStart w:name="f-28008-12" w:id="172"/>
    <w:bookmarkStart w:name="f-2_13081-12" w:id="173"/>
    <w:p>
      <w:pPr>
        <w:pStyle w:val="Heading4"/>
      </w:pPr>
      <w:bookmarkStart w:name="h-2_13081-12" w:id="174"/>
      <w:r>
        <w:rPr/>
        <w:t xml:space="preserve">Fixing</w:t>
      </w:r>
      <w:bookmarkEnd w:id="174"/>
    </w:p>
    <w:p>
      <w:pPr>
        <w:pStyle w:val="Prompt"/>
      </w:pPr>
      <w:r>
        <w:rPr/>
        <w:t xml:space="preserve">Fixing start location: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fixing to proceed from leeward to the windward of prevailing wind.</w:t>
      </w:r>
    </w:p>
    <w:bookmarkEnd w:id="173"/>
    <w:bookmarkEnd w:id="172"/>
    <w:bookmarkStart w:name="f-28008-13" w:id="175"/>
    <w:bookmarkStart w:name="f-3_13081-13" w:id="176"/>
    <w:p>
      <w:pPr>
        <w:pStyle w:val="Heading4"/>
      </w:pPr>
      <w:bookmarkStart w:name="h-3_13081-13" w:id="177"/>
      <w:r>
        <w:rPr/>
        <w:t xml:space="preserve">Joints</w:t>
      </w:r>
      <w:bookmarkEnd w:id="177"/>
    </w:p>
    <w:p>
      <w:pPr>
        <w:pStyle w:val="Prompt"/>
      </w:pPr>
      <w:r>
        <w:rPr/>
        <w:t xml:space="preserve">Expansion joints: </w:t>
      </w:r>
      <w:r>
        <w:fldChar w:fldCharType="begin"/>
        <w:instrText xml:space="preserve"> MACROBUTTON  ac_OnHelp [complete/delete]</w:instrText>
        <w:fldChar w:fldCharType="separate"/>
        <w:t xml:space="preserve"> </w:t>
        <w:fldChar w:fldCharType="end"/>
      </w:r>
    </w:p>
    <w:p>
      <w:pPr>
        <w:pStyle w:val="Instructions"/>
      </w:pPr>
      <w:r>
        <w:rPr/>
        <w:t xml:space="preserve">Consult manufacturer for recommended maximum expansion joint spacing. Typical spacings are 35 m in sheet length for walls with concealed fasteners and 24 m in sheet length for walls with exposed fasteners.</w:t>
      </w:r>
    </w:p>
    <w:bookmarkEnd w:id="176"/>
    <w:bookmarkEnd w:id="175"/>
    <w:bookmarkStart w:name="f-28008-19" w:id="178"/>
    <w:p>
      <w:pPr>
        <w:pStyle w:val="Heading3"/>
      </w:pPr>
      <w:bookmarkStart w:name="h-28008-19" w:id="179"/>
      <w:r>
        <w:rPr/>
        <w:t xml:space="preserve">COMPLETION</w:t>
      </w:r>
      <w:bookmarkEnd w:id="179"/>
    </w:p>
    <w:bookmarkEnd w:id="178"/>
    <w:bookmarkStart w:name="f-28008-20" w:id="180"/>
    <w:bookmarkStart w:name="f-5_13061-65" w:id="181"/>
    <w:p>
      <w:pPr>
        <w:pStyle w:val="Heading4"/>
      </w:pPr>
      <w:bookmarkStart w:name="h-5_13061-65" w:id="182"/>
      <w:r>
        <w:rPr/>
        <w:t xml:space="preserve">Fasteners</w:t>
      </w:r>
      <w:bookmarkEnd w:id="182"/>
    </w:p>
    <w:p>
      <w:pPr>
        <w:pStyle w:val="Body Text"/>
      </w:pPr>
      <w:r>
        <w:rPr/>
        <w:t xml:space="preserve">Requirement: Adjust for weathertightness without distortion of external panel face.</w:t>
      </w:r>
    </w:p>
    <w:bookmarkEnd w:id="181"/>
    <w:bookmarkEnd w:id="180"/>
    <w:bookmarkStart w:name="f-28008-21" w:id="183"/>
    <w:bookmarkStart w:name="f-6_13061-66" w:id="184"/>
    <w:p>
      <w:pPr>
        <w:pStyle w:val="Heading4"/>
      </w:pPr>
      <w:bookmarkStart w:name="h-6_13061-66" w:id="185"/>
      <w:r>
        <w:rPr/>
        <w:t xml:space="preserve">Reinstatement</w:t>
      </w:r>
      <w:bookmarkEnd w:id="185"/>
    </w:p>
    <w:p>
      <w:pPr>
        <w:pStyle w:val="Body Text"/>
      </w:pPr>
      <w:r>
        <w:rPr/>
        <w:t xml:space="preserve">Requirement: Replace damaged cladding, including cladding with scratches in the prepainted finish.</w:t>
      </w:r>
    </w:p>
    <w:p>
      <w:pPr>
        <w:pStyle w:val="Instructions"/>
      </w:pPr>
      <w:r>
        <w:rPr/>
        <w:t xml:space="preserve">BlueScope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bookmarkEnd w:id="184"/>
    <w:bookmarkEnd w:id="183"/>
    <w:bookmarkStart w:name="f-28008-22" w:id="186"/>
    <w:bookmarkStart w:name="f-7_13061-67" w:id="187"/>
    <w:p>
      <w:pPr>
        <w:pStyle w:val="Heading4"/>
      </w:pPr>
      <w:bookmarkStart w:name="h-7_13061-67" w:id="188"/>
      <w:r>
        <w:rPr/>
        <w:t xml:space="preserve">Cleaning</w:t>
      </w:r>
      <w:bookmarkEnd w:id="188"/>
    </w:p>
    <w:p>
      <w:pPr>
        <w:pStyle w:val="Body Text"/>
      </w:pPr>
      <w:r>
        <w:rPr/>
        <w:t xml:space="preserve">Requirement: Remove debris, metal swarf, solder, sealants and unused materials.</w:t>
      </w:r>
    </w:p>
    <w:p>
      <w:pPr>
        <w:pStyle w:val="Body Text"/>
      </w:pPr>
      <w:r>
        <w:rPr/>
        <w:t xml:space="preserve">Exposed metal surfaces: Remove substances that interfere with uniform weathering or oxidisation.</w:t>
      </w:r>
    </w:p>
    <w:p>
      <w:pPr>
        <w:pStyle w:val="Body Text"/>
      </w:pPr>
      <w:r>
        <w:rPr/>
        <w:t xml:space="preserve">Protection: Remove protective film using methods required by the manufacturer after completion.</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p>
      <w:pPr>
        <w:pStyle w:val="Body Text"/>
      </w:pPr>
      <w:r>
        <w:rPr/>
        <w:t xml:space="preserve">Panels: Clean surfaces with soft, clean cloths and clean water to the manufacturer's recommendations.</w:t>
      </w:r>
    </w:p>
    <w:bookmarkEnd w:id="187"/>
    <w:bookmarkEnd w:id="186"/>
    <w:bookmarkStart w:name="f-28008-24" w:id="189"/>
    <w:p>
      <w:pPr>
        <w:pStyle w:val="Heading4"/>
      </w:pPr>
      <w:bookmarkStart w:name="h-28008-24" w:id="190"/>
      <w:r>
        <w:rPr/>
        <w:t xml:space="preserve">Operation and maintenance manuals</w:t>
      </w:r>
      <w:bookmarkEnd w:id="190"/>
    </w:p>
    <w:p>
      <w:pPr>
        <w:pStyle w:val="Body Text"/>
      </w:pPr>
      <w:r>
        <w:rPr/>
        <w:t xml:space="preserve">Requirement: Prepare a manual that includes recommendations from LYSAGHT for the maintenance of the cladding system including frequency of inspection and recommended methods of access, inspection, cleaning, repair and replacement.</w:t>
      </w:r>
    </w:p>
    <w:p>
      <w:pPr>
        <w:pStyle w:val="Instructions"/>
      </w:pPr>
      <w:r>
        <w:rPr/>
        <w:t xml:space="preserve">Refer to Maintenance and Care on LYSAGHT website.</w:t>
      </w:r>
    </w:p>
    <w:bookmarkStart w:name="f-7476" w:id="191"/>
    <w:bookmarkStart w:name="f-7476-1" w:id="192"/>
    <w:p>
      <w:pPr>
        <w:pStyle w:val="Instructions"/>
      </w:pPr>
      <w:r>
        <w:rPr/>
        <w:t xml:space="preserve">Compliance with this subclause targets the Building Information requirement within the Minimum Expectation level of the Verification and Handover credit in Green Star Buildings (2025).</w:t>
      </w:r>
    </w:p>
    <w:bookmarkEnd w:id="192"/>
    <w:bookmarkEnd w:id="191"/>
    <w:bookmarkEnd w:id="189"/>
    <w:bookmarkStart w:name="f-28008-23" w:id="193"/>
    <w:p>
      <w:pPr>
        <w:pStyle w:val="Heading4"/>
      </w:pPr>
      <w:bookmarkStart w:name="h-28008-23" w:id="194"/>
      <w:r>
        <w:rPr/>
        <w:t xml:space="preserve">Warranties</w:t>
      </w:r>
      <w:bookmarkEnd w:id="194"/>
    </w:p>
    <w:p>
      <w:pPr>
        <w:pStyle w:val="Body Text"/>
      </w:pPr>
      <w:r>
        <w:rPr/>
        <w:t xml:space="preserve">Requirement: Cover materials and workmanship in the terms of the warranty in the form of interlocking warranties from the manufacturer and the installer.</w:t>
      </w:r>
    </w:p>
    <w:p>
      <w:pPr>
        <w:pStyle w:val="NormalIndent"/>
      </w:pPr>
      <w:r>
        <w:rPr/>
        <w:t xml:space="preserve">Form: Against failure of materials and execution under normal environment and use conditions.</w:t>
      </w:r>
    </w:p>
    <w:p>
      <w:pPr>
        <w:pStyle w:val="Promptindent"/>
      </w:pPr>
      <w:r>
        <w:rPr/>
        <w:t xml:space="preserve">Period: </w:t>
      </w:r>
      <w:r>
        <w:fldChar w:fldCharType="begin"/>
        <w:instrText xml:space="preserve"> MACROBUTTON  ac_OnHelp [complete/delete]</w:instrText>
        <w:fldChar w:fldCharType="separate"/>
        <w:t xml:space="preserve"> </w:t>
        <w:fldChar w:fldCharType="end"/>
      </w:r>
    </w:p>
    <w:p>
      <w:pPr>
        <w:pStyle w:val="Instructions"/>
      </w:pPr>
      <w:r>
        <w:rPr/>
        <w:t xml:space="preserve">Use only if warranties extending beyond the defects liability period are available for the particular system. Insert the required warranty period and terms, which should be negotiated beforehand. If the warranty is in the form of separate material and installation warranties, the signatures of both manufacturer and installer are required.</w:t>
      </w:r>
    </w:p>
    <w:p>
      <w:pPr>
        <w:pStyle w:val="Instructions"/>
      </w:pPr>
      <w:r>
        <w:rPr/>
        <w:t xml:space="preserve">The form(s) required should be provided as part of the contract documentation.</w:t>
      </w:r>
    </w:p>
    <w:p>
      <w:pPr>
        <w:pStyle w:val="Instructions"/>
      </w:pPr>
      <w:r>
        <w:rPr/>
        <w:t xml:space="preserve">BlueScope has an internet based system Warranty Estimator and Management System that allows access to warranty advice for BlueScope building products and pre‑approved warranties at </w:t>
      </w:r>
      <w:r>
        <w:fldChar w:fldCharType="begin"/>
      </w:r>
      <w:r>
        <w:instrText xml:space="preserve"> HYPERLINK "https://www.bluescopesteel.com.au/warranties" </w:instrText>
      </w:r>
      <w:r>
        <w:fldChar w:fldCharType="separate"/>
      </w:r>
      <w:r>
        <w:rPr>
          <w:rStyle w:val="Hyperlink"/>
        </w:rPr>
        <w:t>www.bluescopesteel.com.au/warranties</w:t>
      </w:r>
      <w:r>
        <w:fldChar w:fldCharType="end"/>
      </w:r>
      <w:r>
        <w:rPr/>
        <w:t xml:space="preserve"> for steel products.</w:t>
      </w:r>
    </w:p>
    <w:bookmarkEnd w:id="193"/>
    <w:bookmarkEnd w:id="146"/>
    <w:bookmarkStart w:name="f-28006" w:id="195"/>
    <w:bookmarkStart w:name="f-28006-1" w:id="196"/>
    <w:p>
      <w:pPr>
        <w:pStyle w:val="Heading2"/>
      </w:pPr>
      <w:bookmarkStart w:name="h-28006-1" w:id="197"/>
      <w:r>
        <w:rPr/>
        <w:t xml:space="preserve">SELECTIONS</w:t>
      </w:r>
      <w:bookmarkEnd w:id="197"/>
    </w:p>
    <w:bookmarkEnd w:id="196"/>
    <w:bookmarkStart w:name="f-28006-2" w:id="198"/>
    <w:bookmarkStart w:name="f-7991" w:id="199"/>
    <w:bookmarkStart w:name="f-7991-1" w:id="200"/>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00"/>
    <w:bookmarkEnd w:id="199"/>
    <w:bookmarkEnd w:id="198"/>
    <w:bookmarkStart w:name="f-28006-3" w:id="201"/>
    <w:p>
      <w:pPr>
        <w:pStyle w:val="Heading3"/>
      </w:pPr>
      <w:bookmarkStart w:name="h-28006-3" w:id="202"/>
      <w:r>
        <w:rPr/>
        <w:t xml:space="preserve">PERFORMANCE</w:t>
      </w:r>
      <w:bookmarkEnd w:id="202"/>
    </w:p>
    <w:bookmarkEnd w:id="201"/>
    <w:bookmarkStart w:name="f-28006-4" w:id="203"/>
    <w:p>
      <w:pPr>
        <w:pStyle w:val="Heading4"/>
      </w:pPr>
      <w:bookmarkStart w:name="h-28006-4" w:id="204"/>
      <w:r>
        <w:rPr/>
        <w:t xml:space="preserve">Cladding performance schedule</w:t>
      </w:r>
      <w:bookmarkEnd w:id="204"/>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b/>
              </w:rPr>
              <w:t xml:space="preserve">A</w:t>
            </w:r>
          </w:p>
        </w:tc>
        <w:tc>
          <w:tcPr>
            <w:tcW w:w="20.0%" w:type="pct"/>
          </w:tcPr>
          <w:p>
            <w:pPr>
              <w:pStyle w:val="Tabletitle"/>
            </w:pPr>
            <w:r>
              <w:rPr>
                <w:b/>
              </w:rPr>
              <w:t xml:space="preserve">B</w:t>
            </w:r>
          </w:p>
        </w:tc>
        <w:tc>
          <w:tcPr>
            <w:tcW w:w="20.0%" w:type="pct"/>
          </w:tcPr>
          <w:p>
            <w:pPr>
              <w:pStyle w:val="Tabletitle"/>
            </w:pPr>
            <w:r>
              <w:rPr>
                <w:b/>
              </w:rPr>
              <w:t xml:space="preserve">C</w:t>
            </w: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05"/>
    <w:bookmarkStart w:name="f-8767-1" w:id="206"/>
    <w:p>
      <w:pPr>
        <w:pStyle w:val="Instructions"/>
      </w:pPr>
      <w:r>
        <w:rPr/>
        <w:t xml:space="preserve">The codes in the header row of the schedule designate each application or location of the item scheduled. Edit the codes to match those in other contract documents.</w:t>
      </w:r>
    </w:p>
    <w:bookmarkEnd w:id="206"/>
    <w:bookmarkEnd w:id="205"/>
    <w:p>
      <w:pPr>
        <w:pStyle w:val="Instructions"/>
      </w:pPr>
      <w:r>
        <w:rPr/>
        <w:t xml:space="preserve">Solar absorptance: Select from manufacturer's range. Light (&lt; 0.40), medium (0.40 to 0.60), dark (&gt; 0.60). See BCA (2025) J3D8 for external walls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203"/>
    <w:bookmarkStart w:name="f-28006-5" w:id="207"/>
    <w:p>
      <w:pPr>
        <w:pStyle w:val="Heading3"/>
      </w:pPr>
      <w:bookmarkStart w:name="h-28006-5" w:id="208"/>
      <w:r>
        <w:rPr/>
        <w:t xml:space="preserve">PRODUCT</w:t>
      </w:r>
      <w:bookmarkEnd w:id="208"/>
    </w:p>
    <w:bookmarkEnd w:id="207"/>
    <w:bookmarkStart w:name="f-28006-28006.1" w:id="209"/>
    <w:p>
      <w:pPr>
        <w:pStyle w:val="Heading4"/>
      </w:pPr>
      <w:bookmarkStart w:name="h-28006-28006.1" w:id="210"/>
      <w:r>
        <w:rPr/>
        <w:t xml:space="preserve">LYSAGHT facade panel metal cladding schedule</w:t>
      </w:r>
      <w:bookmarkEnd w:id="210"/>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b/>
              </w:rPr>
              <w:t xml:space="preserve">A</w:t>
            </w:r>
          </w:p>
        </w:tc>
        <w:tc>
          <w:tcPr>
            <w:tcW w:w="20.0%" w:type="pct"/>
          </w:tcPr>
          <w:p>
            <w:pPr>
              <w:pStyle w:val="Tabletitle"/>
            </w:pPr>
            <w:r>
              <w:rPr>
                <w:b/>
              </w:rPr>
              <w:t xml:space="preserve">B</w:t>
            </w:r>
          </w:p>
        </w:tc>
        <w:tc>
          <w:tcPr>
            <w:tcW w:w="20.0%" w:type="pct"/>
          </w:tcPr>
          <w:p>
            <w:pPr>
              <w:pStyle w:val="Tabletitle"/>
            </w:pPr>
            <w:r>
              <w:rPr>
                <w:b/>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dimensions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Fixing system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11"/>
    <w:bookmarkStart w:name="f-2_8767-1" w:id="212"/>
    <w:p>
      <w:pPr>
        <w:pStyle w:val="Instructions"/>
      </w:pPr>
      <w:r>
        <w:rPr/>
        <w:t xml:space="preserve">The codes in the header row of the schedule designate each application or location of the item scheduled. Edit the codes to match those in other contract documents.</w:t>
      </w:r>
    </w:p>
    <w:bookmarkEnd w:id="212"/>
    <w:bookmarkEnd w:id="211"/>
    <w:p>
      <w:pPr>
        <w:pStyle w:val="Instructions"/>
      </w:pPr>
      <w:r>
        <w:rPr/>
        <w:t xml:space="preserve">Product:</w:t>
      </w:r>
    </w:p>
    <w:p>
      <w:pPr>
        <w:pStyle w:val="Instructionsindent"/>
      </w:pPr>
      <w:r>
        <w:rPr/>
        <w:t xml:space="preserve">LYSAGHT AZURE 100.</w:t>
      </w:r>
    </w:p>
    <w:p>
      <w:pPr>
        <w:pStyle w:val="Instructionsindent"/>
      </w:pPr>
      <w:r>
        <w:rPr/>
        <w:t xml:space="preserve">LYSAGHT HORIZON.</w:t>
      </w:r>
    </w:p>
    <w:p>
      <w:pPr>
        <w:pStyle w:val="Instructions"/>
      </w:pPr>
      <w:r>
        <w:rPr/>
        <w:t xml:space="preserve">Panel dimensions:</w:t>
      </w:r>
    </w:p>
    <w:p>
      <w:pPr>
        <w:pStyle w:val="Instructionsindent"/>
      </w:pPr>
      <w:r>
        <w:rPr/>
        <w:t xml:space="preserve">LYSAGHT AZURE 100: Manufactured to project specific widths and lengths with closed ends as standard. Document sizes here, or refer to design drawings.</w:t>
      </w:r>
    </w:p>
    <w:p>
      <w:pPr>
        <w:pStyle w:val="Instructionsindent"/>
      </w:pPr>
      <w:r>
        <w:rPr/>
        <w:t xml:space="preserve">LYSAGHT HORIZON: Manufactured to project specific lengths with closed ends as standard. Available in 285 mm, 485 mm and 585 mm panel face widths.</w:t>
      </w:r>
    </w:p>
    <w:p>
      <w:pPr>
        <w:pStyle w:val="Instructions"/>
      </w:pPr>
      <w:r>
        <w:rPr/>
        <w:t xml:space="preserve">Fixing system: e.g. Top hat framing, ventilated cavity/rainscreen.</w:t>
      </w:r>
    </w:p>
    <w:p>
      <w:pPr>
        <w:pStyle w:val="Instructions"/>
      </w:pPr>
      <w:r>
        <w:rPr/>
        <w:t xml:space="preserve">Material: Refer to BlueScope TB‑01B (2022) guide on selecting steel walling products. Select from the following:</w:t>
      </w:r>
    </w:p>
    <w:p>
      <w:pPr>
        <w:pStyle w:val="Instructionsindent"/>
      </w:pPr>
      <w:r>
        <w:rPr/>
        <w:t xml:space="preserve">COLORBOND</w:t>
      </w:r>
      <w:r>
        <w:rPr>
          <w:vertAlign w:val="superscript"/>
        </w:rPr>
        <w:t xml:space="preserve">®</w:t>
      </w:r>
      <w:r>
        <w:rPr/>
        <w:t xml:space="preserve"> steel.</w:t>
      </w:r>
    </w:p>
    <w:p>
      <w:pPr>
        <w:pStyle w:val="Instructionsindent"/>
      </w:pPr>
      <w:r>
        <w:rPr/>
        <w:t xml:space="preserve">COLORBOND</w:t>
      </w:r>
      <w:r>
        <w:rPr>
          <w:vertAlign w:val="superscript"/>
        </w:rPr>
        <w:t xml:space="preserve">®</w:t>
      </w:r>
      <w:r>
        <w:rPr/>
        <w:t xml:space="preserve"> Metallic steel.</w:t>
      </w:r>
    </w:p>
    <w:p>
      <w:pPr>
        <w:pStyle w:val="Instructionsindent"/>
      </w:pPr>
      <w:r>
        <w:rPr/>
        <w:t xml:space="preserve">COLORBOND</w:t>
      </w:r>
      <w:r>
        <w:rPr>
          <w:vertAlign w:val="superscript"/>
        </w:rPr>
        <w:t xml:space="preserve">®</w:t>
      </w:r>
      <w:r>
        <w:rPr/>
        <w:t xml:space="preserve"> Ultra steel.</w:t>
      </w:r>
    </w:p>
    <w:p>
      <w:pPr>
        <w:pStyle w:val="Instructions"/>
      </w:pPr>
      <w:r>
        <w:rPr/>
        <w:t xml:space="preserve">Base metal thickness (BMT) (mm): Refer to LYSAGHT product brochures. Select from the following:</w:t>
      </w:r>
    </w:p>
    <w:p>
      <w:pPr>
        <w:pStyle w:val="Instructionsindent"/>
      </w:pPr>
      <w:r>
        <w:rPr/>
        <w:t xml:space="preserve">LYSAGHT AZURE 100: 1.20.</w:t>
      </w:r>
    </w:p>
    <w:p>
      <w:pPr>
        <w:pStyle w:val="Instructionsindent"/>
      </w:pPr>
      <w:r>
        <w:rPr/>
        <w:t xml:space="preserve">LYSAGHT HORIZON: 0.55, 0.70.</w:t>
      </w:r>
    </w:p>
    <w:p>
      <w:pPr>
        <w:pStyle w:val="Instructions"/>
      </w:pPr>
      <w:r>
        <w:rPr/>
        <w:t xml:space="preserve">Colour: Consult the BlueScope COLORBOND</w:t>
      </w:r>
      <w:r>
        <w:rPr>
          <w:vertAlign w:val="superscript"/>
        </w:rPr>
        <w:t xml:space="preserve">®</w:t>
      </w:r>
      <w:r>
        <w:rPr/>
        <w:t xml:space="preserve"> Colour Chart.</w:t>
      </w:r>
    </w:p>
    <w:p>
      <w:pPr>
        <w:pStyle w:val="Instructions"/>
      </w:pPr>
      <w:r>
        <w:rPr/>
        <w:t xml:space="preserve">Flashings and cappings: e.g. Prefinished steel to match cladding colour. Coordinate with </w:t>
      </w:r>
      <w:r>
        <w:rPr>
          <w:i/>
        </w:rPr>
        <w:t xml:space="preserve">0423p LYSAGHT roofing - profiled sheet metal</w:t>
      </w:r>
      <w:r>
        <w:rPr/>
        <w:t xml:space="preserve">.</w:t>
      </w:r>
    </w:p>
    <w:p>
      <w:pPr>
        <w:pStyle w:val="Instructions"/>
      </w:pPr>
      <w:r>
        <w:rPr/>
        <w:t xml:space="preserve">Fasteners: e.g. Fasteners in perimeter recess using colour matched fasteners (for LYSAGHT AZURE 100 and LYSAGHT HORIZON).</w:t>
      </w:r>
    </w:p>
    <w:bookmarkEnd w:id="209"/>
    <w:bookmarkEnd w:id="195"/>
    <w:bookmarkEnd w:id="27"/>
    <w:bookmarkStart w:name="f-28009-bibliography" w:id="213"/>
    <w:bookmarkStart w:name="f-28007" w:id="214"/>
    <w:bookmarkStart w:name="f-28007-1" w:id="215"/>
    <w:p>
      <w:pPr>
        <w:pStyle w:val="InstructionsHeading4"/>
      </w:pPr>
      <w:bookmarkStart w:name="h-28007-1" w:id="216"/>
      <w:r>
        <w:rPr/>
        <w:t xml:space="preserve">REFERENCED DOCUMENTS</w:t>
      </w:r>
      <w:bookmarkEnd w:id="216"/>
    </w:p>
    <w:bookmarkEnd w:id="215"/>
    <w:p>
      <w:pPr>
        <w:pStyle w:val="Instructions"/>
      </w:pPr>
      <w:r>
        <w:rPr>
          <w:b/>
        </w:rPr>
        <w:t xml:space="preserve">The following documents are incorporated into this worksection by reference:</w:t>
      </w:r>
    </w:p>
    <w:bookmarkStart w:name="f-28007-10_01530_000-000" w:id="217"/>
    <w:p>
      <w:pPr>
        <w:pStyle w:val="Standard1"/>
      </w:pPr>
      <w:r>
        <w:rPr/>
        <w:t xml:space="preserve">AS 1530</w:t>
      </w:r>
      <w:r>
        <w:tab/>
      </w:r>
      <w:r>
        <w:tab/>
      </w:r>
      <w:r>
        <w:rPr/>
        <w:t xml:space="preserve">Methods for fire tests on building materials, components and structures</w:t>
      </w:r>
    </w:p>
    <w:bookmarkEnd w:id="217"/>
    <w:bookmarkStart w:name="f-28007-10_01530_002-000_1993" w:id="218"/>
    <w:p>
      <w:pPr>
        <w:pStyle w:val="Standard2"/>
      </w:pPr>
      <w:r>
        <w:rPr/>
        <w:t xml:space="preserve">AS 1530.2</w:t>
      </w:r>
      <w:r>
        <w:tab/>
      </w:r>
      <w:r>
        <w:rPr/>
        <w:t xml:space="preserve">1993</w:t>
      </w:r>
      <w:r>
        <w:tab/>
      </w:r>
      <w:r>
        <w:rPr/>
        <w:t xml:space="preserve">Test for flammability of materials</w:t>
      </w:r>
    </w:p>
    <w:bookmarkEnd w:id="218"/>
    <w:bookmarkStart w:name="f-28007-10_01530_003-000_1999" w:id="219"/>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219"/>
    <w:bookmarkStart w:name="f-28007-10_01562_000-000" w:id="220"/>
    <w:p>
      <w:pPr>
        <w:pStyle w:val="Standard1"/>
      </w:pPr>
      <w:r>
        <w:rPr/>
        <w:t xml:space="preserve">AS 1562</w:t>
      </w:r>
      <w:r>
        <w:tab/>
      </w:r>
      <w:r>
        <w:tab/>
      </w:r>
      <w:r>
        <w:rPr/>
        <w:t xml:space="preserve">Design and installation of sheet roof and wall cladding</w:t>
      </w:r>
    </w:p>
    <w:bookmarkEnd w:id="220"/>
    <w:bookmarkStart w:name="f-28007-10_01562_001-000_2018" w:id="221"/>
    <w:p>
      <w:pPr>
        <w:pStyle w:val="Standard2"/>
      </w:pPr>
      <w:r>
        <w:rPr/>
        <w:t xml:space="preserve">AS 1562.1</w:t>
      </w:r>
      <w:r>
        <w:tab/>
      </w:r>
      <w:r>
        <w:rPr/>
        <w:t xml:space="preserve">2018</w:t>
      </w:r>
      <w:r>
        <w:tab/>
      </w:r>
      <w:r>
        <w:rPr/>
        <w:t xml:space="preserve">Metal</w:t>
      </w:r>
    </w:p>
    <w:bookmarkEnd w:id="221"/>
    <w:bookmarkStart w:name="f-28007-10_02904_000-000_1995" w:id="222"/>
    <w:p>
      <w:pPr>
        <w:pStyle w:val="Standard1"/>
      </w:pPr>
      <w:r>
        <w:rPr/>
        <w:t xml:space="preserve">AS/NZS 2904</w:t>
      </w:r>
      <w:r>
        <w:tab/>
      </w:r>
      <w:r>
        <w:rPr/>
        <w:t xml:space="preserve">1995</w:t>
      </w:r>
      <w:r>
        <w:tab/>
      </w:r>
      <w:r>
        <w:rPr/>
        <w:t xml:space="preserve">Damp-proof courses and flashings</w:t>
      </w:r>
    </w:p>
    <w:bookmarkEnd w:id="222"/>
    <w:bookmarkStart w:name="f-28007-10_04200_000-000" w:id="223"/>
    <w:p>
      <w:pPr>
        <w:pStyle w:val="Standard1"/>
      </w:pPr>
      <w:r>
        <w:rPr/>
        <w:t xml:space="preserve">AS 4200</w:t>
      </w:r>
      <w:r>
        <w:tab/>
      </w:r>
      <w:r>
        <w:tab/>
      </w:r>
      <w:r>
        <w:rPr/>
        <w:t xml:space="preserve">Pliable building membranes and underlays</w:t>
      </w:r>
    </w:p>
    <w:bookmarkEnd w:id="223"/>
    <w:bookmarkStart w:name="f-28007-10_04200_001-000_2017" w:id="224"/>
    <w:p>
      <w:pPr>
        <w:pStyle w:val="Standard2"/>
      </w:pPr>
      <w:r>
        <w:rPr/>
        <w:t xml:space="preserve">AS 4200.1</w:t>
      </w:r>
      <w:r>
        <w:tab/>
      </w:r>
      <w:r>
        <w:rPr/>
        <w:t xml:space="preserve">2017</w:t>
      </w:r>
      <w:r>
        <w:tab/>
      </w:r>
      <w:r>
        <w:rPr/>
        <w:t xml:space="preserve">Materials</w:t>
      </w:r>
    </w:p>
    <w:bookmarkEnd w:id="224"/>
    <w:bookmarkStart w:name="f-28007-10_04200_002-000_2017" w:id="225"/>
    <w:p>
      <w:pPr>
        <w:pStyle w:val="Standard2"/>
      </w:pPr>
      <w:r>
        <w:rPr/>
        <w:t xml:space="preserve">AS 4200.2</w:t>
      </w:r>
      <w:r>
        <w:tab/>
      </w:r>
      <w:r>
        <w:rPr/>
        <w:t xml:space="preserve">2017</w:t>
      </w:r>
      <w:r>
        <w:tab/>
      </w:r>
      <w:r>
        <w:rPr/>
        <w:t xml:space="preserve">Installation</w:t>
      </w:r>
    </w:p>
    <w:bookmarkEnd w:id="225"/>
    <w:bookmarkStart w:name="f-28007-10_04600_000-000_2018" w:id="226"/>
    <w:p>
      <w:pPr>
        <w:pStyle w:val="Standard1"/>
      </w:pPr>
      <w:r>
        <w:rPr/>
        <w:t xml:space="preserve">AS/NZS 4600</w:t>
      </w:r>
      <w:r>
        <w:tab/>
      </w:r>
      <w:r>
        <w:rPr/>
        <w:t xml:space="preserve">2018</w:t>
      </w:r>
      <w:r>
        <w:tab/>
      </w:r>
      <w:r>
        <w:rPr/>
        <w:t xml:space="preserve">Cold-formed steel structures</w:t>
      </w:r>
    </w:p>
    <w:bookmarkEnd w:id="226"/>
    <w:bookmarkStart w:name="f-28007-60_EN_15804_000000_2012" w:id="227"/>
    <w:p>
      <w:pPr>
        <w:pStyle w:val="Standard1"/>
      </w:pPr>
      <w:r>
        <w:rPr/>
        <w:t xml:space="preserve">EN 15804</w:t>
      </w:r>
      <w:r>
        <w:tab/>
      </w:r>
      <w:r>
        <w:rPr/>
        <w:t xml:space="preserve">2012</w:t>
      </w:r>
      <w:r>
        <w:tab/>
      </w:r>
      <w:r>
        <w:rPr/>
        <w:t xml:space="preserve">Sustainability of construction works - Environmental product declarations - Core rules for the product category of construction products</w:t>
      </w:r>
    </w:p>
    <w:bookmarkEnd w:id="227"/>
    <w:bookmarkStart w:name="f-28007-60_ISO_14025_000000_2006" w:id="228"/>
    <w:p>
      <w:pPr>
        <w:pStyle w:val="Standard1"/>
      </w:pPr>
      <w:r>
        <w:rPr/>
        <w:t xml:space="preserve">ISO 14025</w:t>
      </w:r>
      <w:r>
        <w:tab/>
      </w:r>
      <w:r>
        <w:rPr/>
        <w:t xml:space="preserve">2006</w:t>
      </w:r>
      <w:r>
        <w:tab/>
      </w:r>
      <w:r>
        <w:rPr/>
        <w:t xml:space="preserve">Environmental labels and declarations - Type III environmental declarations - Principles and procedures</w:t>
      </w:r>
    </w:p>
    <w:bookmarkEnd w:id="228"/>
    <w:bookmarkStart w:name="f-28007-60_ISO_21930_000000_2017" w:id="229"/>
    <w:p>
      <w:pPr>
        <w:pStyle w:val="Standard1"/>
      </w:pPr>
      <w:r>
        <w:rPr/>
        <w:t xml:space="preserve">ISO 21930</w:t>
      </w:r>
      <w:r>
        <w:tab/>
      </w:r>
      <w:r>
        <w:rPr/>
        <w:t xml:space="preserve">2017</w:t>
      </w:r>
      <w:r>
        <w:tab/>
      </w:r>
      <w:r>
        <w:rPr/>
        <w:t xml:space="preserve">Sustainability in buildings and civil engineering works - Core rules for environmental product declarations of construction products and services</w:t>
      </w:r>
    </w:p>
    <w:bookmarkEnd w:id="229"/>
    <w:p>
      <w:pPr>
        <w:pStyle w:val="Instructions"/>
      </w:pPr>
      <w:r>
        <w:rPr>
          <w:b/>
        </w:rPr>
        <w:t xml:space="preserve">The following documents are mentioned only in the </w:t>
      </w:r>
      <w:r>
        <w:rPr>
          <w:b/>
          <w:i/>
        </w:rPr>
        <w:t xml:space="preserve">Guidance</w:t>
      </w:r>
      <w:r>
        <w:rPr>
          <w:b/>
        </w:rPr>
        <w:t xml:space="preserve"> text:</w:t>
      </w:r>
    </w:p>
    <w:bookmarkStart w:name="f-28007-10_02312_000-000" w:id="230"/>
    <w:p>
      <w:pPr>
        <w:pStyle w:val="Standard1"/>
      </w:pPr>
      <w:r>
        <w:rPr/>
        <w:t xml:space="preserve">AS/NZS 2312</w:t>
      </w:r>
      <w:r>
        <w:tab/>
      </w:r>
      <w:r>
        <w:tab/>
      </w:r>
      <w:r>
        <w:rPr/>
        <w:t xml:space="preserve">Guide to the protection of structural steel against atmospheric corrosion by the use of protective coatings</w:t>
      </w:r>
    </w:p>
    <w:bookmarkEnd w:id="230"/>
    <w:bookmarkStart w:name="f-28007-10_02312_001-000_2014" w:id="231"/>
    <w:p>
      <w:pPr>
        <w:pStyle w:val="Standard2"/>
      </w:pPr>
      <w:r>
        <w:rPr/>
        <w:t xml:space="preserve">AS 2312.1</w:t>
      </w:r>
      <w:r>
        <w:tab/>
      </w:r>
      <w:r>
        <w:rPr/>
        <w:t xml:space="preserve">2014</w:t>
      </w:r>
      <w:r>
        <w:tab/>
      </w:r>
      <w:r>
        <w:rPr/>
        <w:t xml:space="preserve">Paint coatings</w:t>
      </w:r>
    </w:p>
    <w:bookmarkEnd w:id="231"/>
    <w:bookmarkStart w:name="f-28007-10_03959_000-000_2018" w:id="232"/>
    <w:p>
      <w:pPr>
        <w:pStyle w:val="Standard1"/>
      </w:pPr>
      <w:r>
        <w:rPr/>
        <w:t xml:space="preserve">AS 3959</w:t>
      </w:r>
      <w:r>
        <w:tab/>
      </w:r>
      <w:r>
        <w:rPr/>
        <w:t xml:space="preserve">2018</w:t>
      </w:r>
      <w:r>
        <w:tab/>
      </w:r>
      <w:r>
        <w:rPr/>
        <w:t xml:space="preserve">Construction of buildings in bushfire-prone areas</w:t>
      </w:r>
    </w:p>
    <w:bookmarkEnd w:id="232"/>
    <w:bookmarkStart w:name="f-28007-10_04312_000-000_2019" w:id="233"/>
    <w:p>
      <w:pPr>
        <w:pStyle w:val="Standard1"/>
      </w:pPr>
      <w:r>
        <w:rPr/>
        <w:t xml:space="preserve">AS 4312</w:t>
      </w:r>
      <w:r>
        <w:tab/>
      </w:r>
      <w:r>
        <w:rPr/>
        <w:t xml:space="preserve">2019</w:t>
      </w:r>
      <w:r>
        <w:tab/>
      </w:r>
      <w:r>
        <w:rPr/>
        <w:t xml:space="preserve">Atmospheric corrosivity zones in Australia</w:t>
      </w:r>
    </w:p>
    <w:bookmarkEnd w:id="233"/>
    <w:bookmarkStart w:name="f-28007-10_05113_000-000_2016" w:id="234"/>
    <w:p>
      <w:pPr>
        <w:pStyle w:val="Standard1"/>
      </w:pPr>
      <w:r>
        <w:rPr/>
        <w:t xml:space="preserve">AS 5113</w:t>
      </w:r>
      <w:r>
        <w:tab/>
      </w:r>
      <w:r>
        <w:rPr/>
        <w:t xml:space="preserve">2016</w:t>
      </w:r>
      <w:r>
        <w:tab/>
      </w:r>
      <w:r>
        <w:rPr/>
        <w:t xml:space="preserve">Classification of external walls of buildings based on reaction-to-fire performance</w:t>
      </w:r>
    </w:p>
    <w:bookmarkEnd w:id="234"/>
    <w:bookmarkStart w:name="f-28007-15_00039_000-000_2015" w:id="235"/>
    <w:p>
      <w:pPr>
        <w:pStyle w:val="Standard1"/>
      </w:pPr>
      <w:r>
        <w:rPr/>
        <w:t xml:space="preserve">SA HB 39</w:t>
      </w:r>
      <w:r>
        <w:tab/>
      </w:r>
      <w:r>
        <w:rPr/>
        <w:t xml:space="preserve">2015</w:t>
      </w:r>
      <w:r>
        <w:tab/>
      </w:r>
      <w:r>
        <w:rPr/>
        <w:t xml:space="preserve">Installation code for metal roof and wall cladding</w:t>
      </w:r>
    </w:p>
    <w:bookmarkEnd w:id="235"/>
    <w:bookmarkStart w:name="f-28007-20_NCC_C2D10_00000_2022" w:id="236"/>
    <w:p>
      <w:pPr>
        <w:pStyle w:val="Standard1"/>
      </w:pPr>
      <w:r>
        <w:rPr/>
        <w:t xml:space="preserve">BCA C2D10</w:t>
      </w:r>
      <w:r>
        <w:tab/>
      </w:r>
      <w:r>
        <w:rPr/>
        <w:t xml:space="preserve">2025</w:t>
      </w:r>
      <w:r>
        <w:tab/>
      </w:r>
      <w:r>
        <w:rPr/>
        <w:t xml:space="preserve">Fire resistance - Fire resistance and stability - Non-combustible building elements</w:t>
      </w:r>
    </w:p>
    <w:bookmarkEnd w:id="236"/>
    <w:bookmarkStart w:name="f-28007-20_NCC_F1D15_00000_2025" w:id="237"/>
    <w:p>
      <w:pPr>
        <w:pStyle w:val="Standard1"/>
      </w:pPr>
      <w:r>
        <w:rPr/>
        <w:t xml:space="preserve">BCA F1D15</w:t>
      </w:r>
      <w:r>
        <w:tab/>
      </w:r>
      <w:r>
        <w:rPr/>
        <w:t xml:space="preserve">2025</w:t>
      </w:r>
      <w:r>
        <w:tab/>
      </w:r>
      <w:r>
        <w:rPr/>
        <w:t xml:space="preserve">Health and amenity - Water management - Wall cladding</w:t>
      </w:r>
    </w:p>
    <w:bookmarkEnd w:id="237"/>
    <w:bookmarkStart w:name="f-28007-20_NCC_H2D6_00000_2022" w:id="238"/>
    <w:p>
      <w:pPr>
        <w:pStyle w:val="Standard1"/>
      </w:pPr>
      <w:r>
        <w:rPr/>
        <w:t xml:space="preserve">BCA H2D6</w:t>
      </w:r>
      <w:r>
        <w:tab/>
      </w:r>
      <w:r>
        <w:rPr/>
        <w:t xml:space="preserve">2025</w:t>
      </w:r>
      <w:r>
        <w:tab/>
      </w:r>
      <w:r>
        <w:rPr/>
        <w:t xml:space="preserve">Class 1 and 10 buildings - Damp and weatherproofing - Roof and wall cladding</w:t>
      </w:r>
    </w:p>
    <w:bookmarkEnd w:id="238"/>
    <w:bookmarkStart w:name="f-28007-20_NCC_J3D8_00000_2022" w:id="239"/>
    <w:p>
      <w:pPr>
        <w:pStyle w:val="Standard1"/>
      </w:pPr>
      <w:r>
        <w:rPr/>
        <w:t xml:space="preserve">BCA J3D8</w:t>
      </w:r>
      <w:r>
        <w:tab/>
      </w:r>
      <w:r>
        <w:rPr/>
        <w:t xml:space="preserve">2025</w:t>
      </w:r>
      <w:r>
        <w:tab/>
      </w:r>
      <w:r>
        <w:rPr/>
        <w:t xml:space="preserve">Energy efficiency - Elemental provisions for a Class 4 part of a building - External walls of a Class 4 part of a building</w:t>
      </w:r>
    </w:p>
    <w:bookmarkEnd w:id="239"/>
    <w:bookmarkStart w:name="f-28007-20_NCC_Section_C_00000_2022" w:id="240"/>
    <w:p>
      <w:pPr>
        <w:pStyle w:val="Standard1"/>
      </w:pPr>
      <w:r>
        <w:rPr/>
        <w:t xml:space="preserve">BCA Section C</w:t>
      </w:r>
      <w:r>
        <w:tab/>
      </w:r>
      <w:r>
        <w:rPr/>
        <w:t xml:space="preserve">2025</w:t>
      </w:r>
      <w:r>
        <w:tab/>
      </w:r>
      <w:r>
        <w:rPr/>
        <w:t xml:space="preserve">Fire resistance</w:t>
      </w:r>
    </w:p>
    <w:bookmarkEnd w:id="240"/>
    <w:bookmarkStart w:name="f-28007-20_NCC_Section_J_00000_2022" w:id="241"/>
    <w:p>
      <w:pPr>
        <w:pStyle w:val="Standard1"/>
      </w:pPr>
      <w:r>
        <w:rPr/>
        <w:t xml:space="preserve">BCA Section J</w:t>
      </w:r>
      <w:r>
        <w:tab/>
      </w:r>
      <w:r>
        <w:rPr/>
        <w:t xml:space="preserve">2025</w:t>
      </w:r>
      <w:r>
        <w:tab/>
      </w:r>
      <w:r>
        <w:rPr/>
        <w:t xml:space="preserve">Energy efficiency</w:t>
      </w:r>
    </w:p>
    <w:bookmarkEnd w:id="241"/>
    <w:bookmarkStart w:name="f-28007-21_NCC_000000_00000_2025" w:id="242"/>
    <w:p>
      <w:pPr>
        <w:pStyle w:val="Standard1"/>
      </w:pPr>
      <w:r>
        <w:rPr/>
        <w:t xml:space="preserve">NCC</w:t>
      </w:r>
      <w:r>
        <w:tab/>
      </w:r>
      <w:r>
        <w:rPr/>
        <w:t xml:space="preserve">2022</w:t>
      </w:r>
      <w:r>
        <w:tab/>
      </w:r>
      <w:r>
        <w:rPr/>
        <w:t xml:space="preserve">National Construction Code</w:t>
      </w:r>
    </w:p>
    <w:bookmarkEnd w:id="242"/>
    <w:bookmarkStart w:name="f-28007-21_NCC_000000_00000_2022" w:id="243"/>
    <w:p>
      <w:pPr>
        <w:pStyle w:val="Standard1"/>
      </w:pPr>
      <w:r>
        <w:rPr/>
        <w:t xml:space="preserve">NCC</w:t>
      </w:r>
      <w:r>
        <w:tab/>
      </w:r>
      <w:r>
        <w:rPr/>
        <w:t xml:space="preserve">2025</w:t>
      </w:r>
      <w:r>
        <w:tab/>
      </w:r>
      <w:r>
        <w:rPr/>
        <w:t xml:space="preserve">National Construction Code</w:t>
      </w:r>
    </w:p>
    <w:bookmarkEnd w:id="243"/>
    <w:bookmarkStart w:name="f-28007-25_ABCB_Condensation_00000_2023" w:id="244"/>
    <w:p>
      <w:pPr>
        <w:pStyle w:val="Standard1"/>
      </w:pPr>
      <w:r>
        <w:rPr/>
        <w:t xml:space="preserve">ABCB Condensation</w:t>
      </w:r>
      <w:r>
        <w:tab/>
      </w:r>
      <w:r>
        <w:rPr/>
        <w:t xml:space="preserve">2023</w:t>
      </w:r>
      <w:r>
        <w:tab/>
      </w:r>
      <w:r>
        <w:rPr/>
        <w:t xml:space="preserve">Condensation in buildings handbook</w:t>
      </w:r>
    </w:p>
    <w:bookmarkEnd w:id="244"/>
    <w:bookmarkStart w:name="f-28007-25_ABCB_Fire_performance_00000_2020" w:id="245"/>
    <w:p>
      <w:pPr>
        <w:pStyle w:val="Standard1"/>
      </w:pPr>
      <w:r>
        <w:rPr/>
        <w:t xml:space="preserve">ABCB Fire performance</w:t>
      </w:r>
      <w:r>
        <w:tab/>
      </w:r>
      <w:r>
        <w:rPr/>
        <w:t xml:space="preserve">2020</w:t>
      </w:r>
      <w:r>
        <w:tab/>
      </w:r>
      <w:r>
        <w:rPr/>
        <w:t xml:space="preserve">Fire performance of external walls and cladding advisory note</w:t>
      </w:r>
    </w:p>
    <w:bookmarkEnd w:id="245"/>
    <w:bookmarkStart w:name="f-28007-25_BLUESCOPE_TB_01A_00000_2022" w:id="246"/>
    <w:p>
      <w:pPr>
        <w:pStyle w:val="Standard1"/>
      </w:pPr>
      <w:r>
        <w:rPr/>
        <w:t xml:space="preserve">BlueScope TB‑01A</w:t>
      </w:r>
      <w:r>
        <w:tab/>
      </w:r>
      <w:r>
        <w:rPr/>
        <w:t xml:space="preserve">2023</w:t>
      </w:r>
      <w:r>
        <w:tab/>
      </w:r>
      <w:r>
        <w:rPr/>
        <w:t xml:space="preserve">Steel roofing products - Selection guide</w:t>
      </w:r>
    </w:p>
    <w:bookmarkEnd w:id="246"/>
    <w:bookmarkStart w:name="f-28007-25_BLUESCOPE_TB_01B_00000_2022" w:id="247"/>
    <w:p>
      <w:pPr>
        <w:pStyle w:val="Standard1"/>
      </w:pPr>
      <w:r>
        <w:rPr/>
        <w:t xml:space="preserve">BlueScope TB‑01B</w:t>
      </w:r>
      <w:r>
        <w:tab/>
      </w:r>
      <w:r>
        <w:rPr/>
        <w:t xml:space="preserve">2022</w:t>
      </w:r>
      <w:r>
        <w:tab/>
      </w:r>
      <w:r>
        <w:rPr/>
        <w:t xml:space="preserve">Steel walling products - Selection guide</w:t>
      </w:r>
    </w:p>
    <w:bookmarkEnd w:id="247"/>
    <w:bookmarkStart w:name="f-28007-25_BLUESCOPE_TB_02_00000_2022" w:id="248"/>
    <w:p>
      <w:pPr>
        <w:pStyle w:val="Standard1"/>
      </w:pPr>
      <w:r>
        <w:rPr/>
        <w:t xml:space="preserve">BlueScope TB‑02</w:t>
      </w:r>
      <w:r>
        <w:tab/>
      </w:r>
      <w:r>
        <w:rPr/>
        <w:t xml:space="preserve">2022</w:t>
      </w:r>
      <w:r>
        <w:tab/>
      </w:r>
      <w:r>
        <w:rPr/>
        <w:t xml:space="preserve">Overpainting and restoration of exterior BlueScope coated steel products</w:t>
      </w:r>
    </w:p>
    <w:bookmarkEnd w:id="248"/>
    <w:bookmarkStart w:name="f-28007-25_BLUESCOPE_TB_16_00000_2021" w:id="249"/>
    <w:p>
      <w:pPr>
        <w:pStyle w:val="Standard1"/>
      </w:pPr>
      <w:r>
        <w:rPr/>
        <w:t xml:space="preserve">BlueScope TB‑16</w:t>
      </w:r>
      <w:r>
        <w:tab/>
      </w:r>
      <w:r>
        <w:rPr/>
        <w:t xml:space="preserve">2023</w:t>
      </w:r>
      <w:r>
        <w:tab/>
      </w:r>
      <w:r>
        <w:rPr/>
        <w:t xml:space="preserve">Fasteners for roofing, walling and accessory product - Selection guide</w:t>
      </w:r>
    </w:p>
    <w:bookmarkEnd w:id="249"/>
    <w:bookmarkStart w:name="f-28007-25_GBCA_Buildings_00000_2021" w:id="250"/>
    <w:p>
      <w:pPr>
        <w:pStyle w:val="Standard1"/>
      </w:pPr>
      <w:r>
        <w:rPr/>
        <w:t xml:space="preserve">GBCA Buildings</w:t>
      </w:r>
      <w:r>
        <w:tab/>
      </w:r>
      <w:r>
        <w:rPr/>
        <w:t xml:space="preserve">2025</w:t>
      </w:r>
      <w:r>
        <w:tab/>
      </w:r>
      <w:r>
        <w:rPr/>
        <w:t xml:space="preserve">Green Star Buildings</w:t>
      </w:r>
    </w:p>
    <w:bookmarkEnd w:id="250"/>
    <w:bookmarkStart w:name="f-28007-25_NATSPEC_DES_018_00000" w:id="251"/>
    <w:p>
      <w:pPr>
        <w:pStyle w:val="Standard1"/>
      </w:pPr>
      <w:r>
        <w:rPr/>
        <w:t xml:space="preserve">NATSPEC DES 018</w:t>
      </w:r>
      <w:r>
        <w:tab/>
      </w:r>
      <w:r>
        <w:tab/>
      </w:r>
      <w:r>
        <w:rPr/>
        <w:t xml:space="preserve">Bushfire protection</w:t>
      </w:r>
    </w:p>
    <w:bookmarkEnd w:id="251"/>
    <w:bookmarkStart w:name="f-28007-25_NATSPEC_DES_031_00000" w:id="252"/>
    <w:p>
      <w:pPr>
        <w:pStyle w:val="Standard1"/>
      </w:pPr>
      <w:r>
        <w:rPr/>
        <w:t xml:space="preserve">NATSPEC DES 031</w:t>
      </w:r>
      <w:r>
        <w:tab/>
      </w:r>
      <w:r>
        <w:tab/>
      </w:r>
      <w:r>
        <w:rPr/>
        <w:t xml:space="preserve">Specifying R-Values</w:t>
      </w:r>
    </w:p>
    <w:bookmarkEnd w:id="252"/>
    <w:bookmarkStart w:name="f-28007-25_NATSPEC_DES_044_00000" w:id="253"/>
    <w:p>
      <w:pPr>
        <w:pStyle w:val="Standard1"/>
      </w:pPr>
      <w:r>
        <w:rPr/>
        <w:t xml:space="preserve">NATSPEC DES 044</w:t>
      </w:r>
      <w:r>
        <w:tab/>
      </w:r>
      <w:r>
        <w:tab/>
      </w:r>
      <w:r>
        <w:rPr/>
        <w:t xml:space="preserve">Weatherproofing of external walls</w:t>
      </w:r>
    </w:p>
    <w:bookmarkEnd w:id="253"/>
    <w:bookmarkStart w:name="f-28007-25_NATSPEC_GEN_006_00000" w:id="254"/>
    <w:p>
      <w:pPr>
        <w:pStyle w:val="Standard1"/>
      </w:pPr>
      <w:r>
        <w:rPr/>
        <w:t xml:space="preserve">NATSPEC GEN 006</w:t>
      </w:r>
      <w:r>
        <w:tab/>
      </w:r>
      <w:r>
        <w:tab/>
      </w:r>
      <w:r>
        <w:rPr/>
        <w:t xml:space="preserve">Product specifying and substitution</w:t>
      </w:r>
    </w:p>
    <w:bookmarkEnd w:id="254"/>
    <w:bookmarkStart w:name="f-28007-25_NATSPEC_GEN_024_00000" w:id="255"/>
    <w:p>
      <w:pPr>
        <w:pStyle w:val="Standard1"/>
      </w:pPr>
      <w:r>
        <w:rPr/>
        <w:t xml:space="preserve">NATSPEC GEN 024</w:t>
      </w:r>
      <w:r>
        <w:tab/>
      </w:r>
      <w:r>
        <w:tab/>
      </w:r>
      <w:r>
        <w:rPr/>
        <w:t xml:space="preserve">Using NATSPEC selections schedules</w:t>
      </w:r>
    </w:p>
    <w:bookmarkEnd w:id="255"/>
    <w:bookmarkStart w:name="f-28007-25_NATSPEC_TR_01_00000" w:id="256"/>
    <w:p>
      <w:pPr>
        <w:pStyle w:val="Standard1"/>
      </w:pPr>
      <w:r>
        <w:rPr/>
        <w:t xml:space="preserve">NATSPEC TR 01</w:t>
      </w:r>
      <w:r>
        <w:tab/>
      </w:r>
      <w:r>
        <w:tab/>
      </w:r>
      <w:r>
        <w:rPr/>
        <w:t xml:space="preserve">Specifying ESD</w:t>
      </w:r>
    </w:p>
    <w:bookmarkEnd w:id="256"/>
    <w:bookmarkEnd w:id="214"/>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213"/>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6B4C69-C70C-44FB-A153-CD4E5CBD5560}"/>
</file>

<file path=customXml/itemProps2.xml><?xml version="1.0" encoding="utf-8"?>
<ds:datastoreItem xmlns:ds="http://schemas.openxmlformats.org/officeDocument/2006/customXml" ds:itemID="{31A62D10-4E84-424C-97A3-6F4B2D8FD3F2}"/>
</file>

<file path=customXml/itemProps3.xml><?xml version="1.0" encoding="utf-8"?>
<ds:datastoreItem xmlns:ds="http://schemas.openxmlformats.org/officeDocument/2006/customXml" ds:itemID="{8506EF92-580A-4A80-8165-73F7D75BE998}"/>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0434p LYSAGHT cladding ‑ facade panels.docx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