
<file path=[Content_Types].xml><?xml version="1.0" encoding="utf-8"?>
<Types xmlns="http://schemas.openxmlformats.org/package/2006/content-types">
  <Default Extension="rels" ContentType="application/vnd.openxmlformats-package.relationships+xml"/>
  <Default Extension="xml" ContentType="application/xml"/>
  <Override PartName="/word/footnotes.xml" ContentType="application/vnd.openxmlformats-officedocument.wordprocessingml.footnotes+xml"/>
  <Override PartName="/word/styles.xml" ContentType="application/vnd.openxmlformats-officedocument.wordprocessingml.styles+xml"/>
  <Override PartName="/word/header1.xml" ContentType="application/vnd.openxmlformats-officedocument.wordprocessingml.header+xml"/>
  <Override PartName="/word/fontTable.xml" ContentType="application/vnd.openxmlformats-officedocument.wordprocessingml.fontTable+xml"/>
  <Override PartName="/word/document.xml" ContentType="application/vnd.openxmlformats-officedocument.wordprocessingml.document.main+xml"/>
  <Override PartName="/word/webSettings.xml" ContentType="application/vnd.openxmlformats-officedocument.wordprocessingml.webSettings+xml"/>
  <Override PartName="/word/footer1.xml" ContentType="application/vnd.openxmlformats-officedocument.wordprocessingml.footer+xml"/>
  <Override PartName="/word/header2.xml" ContentType="application/vnd.openxmlformats-officedocument.wordprocessingml.header+xml"/>
  <Override PartName="/word/numbering.xml" ContentType="application/vnd.openxmlformats-officedocument.wordprocessingml.numbering+xml"/>
  <Override PartName="/word/theme/theme1.xml" ContentType="application/vnd.openxmlformats-officedocument.theme+xml"/>
  <Override PartName="/word/settings.xml" ContentType="application/vnd.openxmlformats-officedocument.wordprocessingml.settings+xml"/>
  <Override PartName="/word/endnotes.xml" ContentType="application/vnd.openxmlformats-officedocument.wordprocessingml.endnotes+xml"/>
  <Override PartName="/word/footer2.xml" ContentType="application/vnd.openxmlformats-officedocument.wordprocessingml.footer+xml"/>
  <Override PartName="/word/glossary/styles.xml" ContentType="application/vnd.openxmlformats-officedocument.wordprocessingml.styles+xml"/>
  <Override PartName="/word/glossary/fontTable.xml" ContentType="application/vnd.openxmlformats-officedocument.wordprocessingml.fontTable+xml"/>
  <Override PartName="/word/glossary/document.xml" ContentType="application/vnd.openxmlformats-officedocument.wordprocessingml.document.glossary+xml"/>
  <Override PartName="/word/glossary/webSettings.xml" ContentType="application/vnd.openxmlformats-officedocument.wordprocessingml.webSettings+xml"/>
  <Override PartName="/word/glossary/settings.xml" ContentType="application/vnd.openxmlformats-officedocument.wordprocessingml.settings+xml"/>
  <Override PartName="/word/header3.xml" ContentType="application/vnd.openxmlformats-officedocument.wordprocessingml.header+xml"/>
  <Override PartName="/word/footer3.xml" ContentType="application/vnd.openxmlformats-officedocument.wordprocessingml.footer+xml"/>
  <Override PartName="/docProps/app.xml" ContentType="application/vnd.openxmlformats-officedocument.extended-properties+xml"/>
  <Override PartName="/docProps/core.xml" ContentType="application/vnd.openxmlformats-package.core-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http://schemas.openxmlformats.org/wordprocessingml/2006/main">
  <w:body>
    <w:bookmarkStart w:name="f-10702" w:id="0"/>
    <w:bookmarkEnd w:id="0"/>
    <w:bookmarkStart w:name="f-10702-1" w:id="1"/>
    <w:p>
      <w:pPr>
        <w:pStyle w:val="Heading1"/>
      </w:pPr>
      <w:bookmarkStart w:name="h-10702-1" w:id="2"/>
      <w:r>
        <w:rPr/>
        <w:t xml:space="preserve">0762p ASKIN</w:t>
      </w:r>
      <w:r>
        <w:rPr>
          <w:vertAlign w:val="superscript"/>
        </w:rPr>
        <w:t xml:space="preserve">®</w:t>
      </w:r>
      <w:r>
        <w:rPr/>
        <w:t xml:space="preserve"> XFLAM performance panels in cool rooms</w:t>
      </w:r>
      <w:bookmarkEnd w:id="2"/>
    </w:p>
    <w:bookmarkEnd w:id="1"/>
    <w:bookmarkStart w:name="f-10702-10702.1" w:id="3"/>
    <w:p>
      <w:pPr>
        <w:pStyle w:val="InstructionsHeading4"/>
      </w:pPr>
      <w:bookmarkStart w:name="h-10702-10702.1" w:id="4"/>
      <w:r>
        <w:rPr>
          <w:b/>
        </w:rPr>
        <w:t xml:space="preserve">Branded worksection</w:t>
      </w:r>
      <w:bookmarkEnd w:id="4"/>
    </w:p>
    <w:p>
      <w:pPr>
        <w:pStyle w:val="Instructions"/>
      </w:pPr>
      <w:r>
        <w:rPr/>
        <w:t xml:space="preserve">This branded worksection </w:t>
      </w:r>
      <w:r>
        <w:rPr>
          <w:i/>
        </w:rPr>
        <w:t xml:space="preserve">Template</w:t>
      </w:r>
      <w:r>
        <w:rPr/>
        <w:t xml:space="preserve"> has been developed by NATSPEC in conjunction with </w:t>
      </w:r>
      <w:r>
        <w:rPr>
          <w:b/>
        </w:rPr>
        <w:t xml:space="preserve">ASKIN</w:t>
      </w:r>
      <w:r>
        <w:rPr>
          <w:vertAlign w:val="superscript"/>
          <w:b/>
        </w:rPr>
        <w:t xml:space="preserve">®</w:t>
      </w:r>
      <w:r>
        <w:rPr/>
        <w:t xml:space="preserve"> (the Product Partner) and may be used whilst the Product Partner is licensed to distribute it. The copyright remains with NATSPEC. As with all NATSPEC worksections, it is the responsibility of the user to make sure it is completed appropriately for the project. The user should also review its applicability for local conditions and regulations. Check </w:t>
      </w:r>
      <w:r>
        <w:fldChar w:fldCharType="begin"/>
      </w:r>
      <w:r>
        <w:instrText xml:space="preserve"> HYPERLINK "https://www.natspec.com.au/" </w:instrText>
      </w:r>
      <w:r>
        <w:fldChar w:fldCharType="separate"/>
      </w:r>
      <w:r>
        <w:rPr>
          <w:rStyle w:val="Hyperlink"/>
        </w:rPr>
        <w:t>www.natspec.com.au</w:t>
      </w:r>
      <w:r>
        <w:fldChar w:fldCharType="end"/>
      </w:r>
      <w:r>
        <w:rPr/>
        <w:t xml:space="preserve"> for the latest updated version.</w:t>
      </w:r>
    </w:p>
    <w:bookmarkEnd w:id="3"/>
    <w:bookmarkStart w:name="f-10702-t2-1" w:id="5"/>
    <w:p>
      <w:pPr>
        <w:pStyle w:val="InstructionsHeading4"/>
      </w:pPr>
      <w:bookmarkStart w:name="h-10702-t2-1" w:id="6"/>
      <w:r>
        <w:rPr/>
        <w:t xml:space="preserve">Worksection abstract</w:t>
      </w:r>
      <w:bookmarkEnd w:id="6"/>
    </w:p>
    <w:p>
      <w:pPr>
        <w:pStyle w:val="Instructions"/>
      </w:pPr>
      <w:r>
        <w:rPr/>
        <w:t xml:space="preserve">This branded worksection </w:t>
      </w:r>
      <w:r>
        <w:rPr>
          <w:i/>
        </w:rPr>
        <w:t xml:space="preserve">Template</w:t>
      </w:r>
      <w:r>
        <w:rPr/>
        <w:t xml:space="preserve"> is applicable to refrigerated walk‑in cool rooms using ASKIN</w:t>
      </w:r>
      <w:r>
        <w:rPr>
          <w:vertAlign w:val="superscript"/>
        </w:rPr>
        <w:t xml:space="preserve">®</w:t>
      </w:r>
      <w:r>
        <w:rPr/>
        <w:t xml:space="preserve"> XFLAM performance panels and components, including those operating below freezing. It is intended for small to medium walk‑in cool rooms up to 36 m² floor area and includes the construction of the room and its associated refrigeration system and controls.</w:t>
      </w:r>
    </w:p>
    <w:bookmarkEnd w:id="5"/>
    <w:bookmarkStart w:name="f-10702-t3" w:id="7"/>
    <w:bookmarkStart w:name="f-8831" w:id="8"/>
    <w:bookmarkStart w:name="f-8831-99906-2" w:id="9"/>
    <w:p>
      <w:pPr>
        <w:pStyle w:val="InstructionsHeading4"/>
      </w:pPr>
      <w:bookmarkStart w:name="h-8831-99906-2" w:id="10"/>
      <w:r>
        <w:rPr/>
        <w:t xml:space="preserve">How to use this worksection</w:t>
      </w:r>
      <w:bookmarkEnd w:id="10"/>
    </w:p>
    <w:p>
      <w:pPr>
        <w:pStyle w:val="Instructions"/>
      </w:pPr>
      <w:r>
        <w:rPr/>
        <w:t xml:space="preserve">Customise this worksection </w:t>
      </w:r>
      <w:r>
        <w:rPr>
          <w:i/>
        </w:rPr>
        <w:t xml:space="preserve">Template</w:t>
      </w:r>
      <w:r>
        <w:rPr/>
        <w:t xml:space="preserve"> for each project. See </w:t>
      </w:r>
      <w:r>
        <w:fldChar w:fldCharType="begin"/>
      </w:r>
      <w:r>
        <w:instrText xml:space="preserve"> HYPERLINK "https://www.natspec.com.au/a-guide-to-natspec-worksections" </w:instrText>
      </w:r>
      <w:r>
        <w:fldChar w:fldCharType="separate"/>
      </w:r>
      <w:r>
        <w:rPr>
          <w:rStyle w:val="Hyperlink"/>
        </w:rPr>
        <w:t>A guide to NATSPEC worksections</w:t>
      </w:r>
      <w:r>
        <w:fldChar w:fldCharType="end"/>
      </w:r>
      <w:r>
        <w:rPr/>
        <w:t xml:space="preserve"> (</w:t>
      </w:r>
      <w:r>
        <w:fldChar w:fldCharType="begin"/>
      </w:r>
      <w:r>
        <w:instrText xml:space="preserve"> HYPERLINK "https://www.natspec.com.au/a-guide-to-natspec-worksections" </w:instrText>
      </w:r>
      <w:r>
        <w:fldChar w:fldCharType="separate"/>
      </w:r>
      <w:r>
        <w:rPr>
          <w:rStyle w:val="Hyperlink"/>
        </w:rPr>
        <w:t>www.natspec.com.au</w:t>
      </w:r>
      <w:r>
        <w:fldChar w:fldCharType="end"/>
      </w:r>
      <w:r>
        <w:rPr/>
        <w:t xml:space="preserve">) for information on </w:t>
      </w:r>
      <w:r>
        <w:rPr>
          <w:i/>
        </w:rPr>
        <w:t xml:space="preserve">Template</w:t>
      </w:r>
      <w:r>
        <w:rPr/>
        <w:t xml:space="preserve"> structure, word styles and completing a worksection.</w:t>
      </w:r>
    </w:p>
    <w:bookmarkEnd w:id="9"/>
    <w:bookmarkEnd w:id="8"/>
    <w:bookmarkEnd w:id="7"/>
    <w:bookmarkStart w:name="f-10702-10702.3" w:id="11"/>
    <w:p>
      <w:pPr>
        <w:pStyle w:val="Instructions"/>
      </w:pPr>
      <w:r>
        <w:rPr/>
        <w:t xml:space="preserve">Various, sometimes ambiguous, terms used in the industry for the rooms covered by this worksection include cool room, cold room, chiller, freezer, freezer room. For example, a room operating at close to, but just above, 0°C is not a 'freezer', but requires features such as electric defrost not needed in rooms operating at higher temperatures. To avoid ambiguity, only the term cool room is used in this worksection and requirements are specified in terms of room operating temperature.</w:t>
      </w:r>
    </w:p>
    <w:bookmarkEnd w:id="11"/>
    <w:bookmarkStart w:name="f-10702-t3-1" w:id="12"/>
    <w:bookmarkStart w:name="f-8177" w:id="13"/>
    <w:bookmarkStart w:name="f-8177-1" w:id="14"/>
    <w:p>
      <w:pPr>
        <w:pStyle w:val="InstructionsHeading4"/>
      </w:pPr>
      <w:bookmarkStart w:name="h-8177-1" w:id="15"/>
      <w:r>
        <w:rPr/>
        <w:t xml:space="preserve">Related material located elsewhere in NATSPEC</w:t>
      </w:r>
      <w:bookmarkEnd w:id="15"/>
    </w:p>
    <w:p>
      <w:pPr>
        <w:pStyle w:val="Instructions"/>
      </w:pPr>
      <w:r>
        <w:rPr/>
        <w:t xml:space="preserve">If a listed worksection is not part of your subscription package and you wish to purchase it, contact NATSPEC.</w:t>
      </w:r>
    </w:p>
    <w:p>
      <w:pPr>
        <w:pStyle w:val="Instructions"/>
      </w:pPr>
      <w:r>
        <w:rPr/>
        <w:t xml:space="preserve">Related material may be found in other worksections, including:</w:t>
      </w:r>
    </w:p>
    <w:bookmarkEnd w:id="14"/>
    <w:bookmarkEnd w:id="13"/>
    <w:p>
      <w:pPr>
        <w:pStyle w:val="Instructionsindent"/>
      </w:pPr>
      <w:r>
        <w:rPr>
          <w:i/>
        </w:rPr>
        <w:t xml:space="preserve">0310 Concrete - combined.</w:t>
      </w:r>
    </w:p>
    <w:p>
      <w:pPr>
        <w:pStyle w:val="Instructionsindent"/>
      </w:pPr>
      <w:r>
        <w:rPr>
          <w:i/>
        </w:rPr>
        <w:t xml:space="preserve">0315 Concrete finishes.</w:t>
      </w:r>
    </w:p>
    <w:p>
      <w:pPr>
        <w:pStyle w:val="Instructionsindent"/>
      </w:pPr>
      <w:r>
        <w:rPr>
          <w:i/>
        </w:rPr>
        <w:t xml:space="preserve">0612 Cementitious toppings.</w:t>
      </w:r>
    </w:p>
    <w:p>
      <w:pPr>
        <w:pStyle w:val="Instructionsindent"/>
      </w:pPr>
      <w:r>
        <w:rPr>
          <w:i/>
        </w:rPr>
        <w:t xml:space="preserve">0631 Ceramic tiling.</w:t>
      </w:r>
    </w:p>
    <w:p>
      <w:pPr>
        <w:pStyle w:val="Instructionsindent"/>
      </w:pPr>
      <w:r>
        <w:rPr>
          <w:i/>
        </w:rPr>
        <w:t xml:space="preserve">0651 Resilient finishes.</w:t>
      </w:r>
    </w:p>
    <w:p>
      <w:pPr>
        <w:pStyle w:val="Instructionsindent"/>
      </w:pPr>
      <w:r>
        <w:rPr>
          <w:i/>
        </w:rPr>
        <w:t xml:space="preserve">0657 Resin based seamless flooring.</w:t>
      </w:r>
    </w:p>
    <w:p>
      <w:pPr>
        <w:pStyle w:val="Instructions"/>
      </w:pPr>
      <w:r>
        <w:rPr/>
        <w:t xml:space="preserve">Related branded worksections include:</w:t>
      </w:r>
    </w:p>
    <w:p>
      <w:pPr>
        <w:pStyle w:val="Instructionsindent"/>
      </w:pPr>
      <w:r>
        <w:rPr>
          <w:i/>
        </w:rPr>
        <w:t xml:space="preserve">0428p ASKIN XFLAM roofing system.</w:t>
      </w:r>
    </w:p>
    <w:p>
      <w:pPr>
        <w:pStyle w:val="Instructionsindent"/>
      </w:pPr>
      <w:r>
        <w:rPr>
          <w:i/>
        </w:rPr>
        <w:t xml:space="preserve">0437p ASKIN XFLAM performance panel cladding.</w:t>
      </w:r>
    </w:p>
    <w:bookmarkEnd w:id="12"/>
    <w:bookmarkStart w:name="f-10702-10702.2" w:id="16"/>
    <w:p>
      <w:pPr>
        <w:pStyle w:val="InstructionsHeading4"/>
      </w:pPr>
      <w:bookmarkStart w:name="h-10702-10702.2" w:id="17"/>
      <w:r>
        <w:rPr>
          <w:b/>
        </w:rPr>
        <w:t xml:space="preserve">Material not provided by ASKIN</w:t>
      </w:r>
      <w:r>
        <w:rPr>
          <w:vertAlign w:val="superscript"/>
          <w:b/>
        </w:rPr>
        <w:t xml:space="preserve">®</w:t>
      </w:r>
      <w:bookmarkEnd w:id="17"/>
    </w:p>
    <w:p>
      <w:pPr>
        <w:pStyle w:val="Instructions"/>
      </w:pPr>
      <w:r>
        <w:rPr/>
        <w:t xml:space="preserve">This branded worksection includes generic material which may not be provided by the Product Partner including:</w:t>
      </w:r>
    </w:p>
    <w:p>
      <w:pPr>
        <w:pStyle w:val="Instructionsindent"/>
      </w:pPr>
      <w:r>
        <w:rPr/>
        <w:t xml:space="preserve">Condensers.</w:t>
      </w:r>
    </w:p>
    <w:p>
      <w:pPr>
        <w:pStyle w:val="Instructionsindent"/>
      </w:pPr>
      <w:r>
        <w:rPr/>
        <w:t xml:space="preserve">Evaporators.</w:t>
      </w:r>
    </w:p>
    <w:p>
      <w:pPr>
        <w:pStyle w:val="Instructionsindent"/>
      </w:pPr>
      <w:r>
        <w:rPr/>
        <w:t xml:space="preserve">Refrigerant plant.</w:t>
      </w:r>
    </w:p>
    <w:bookmarkEnd w:id="16"/>
    <w:bookmarkStart w:name="f-10702-t6-1" w:id="18"/>
    <w:p>
      <w:pPr>
        <w:pStyle w:val="InstructionsHeading4"/>
      </w:pPr>
      <w:bookmarkStart w:name="h-10702-t6-1" w:id="19"/>
      <w:r>
        <w:rPr/>
        <w:t xml:space="preserve">Documenting this and related work</w:t>
      </w:r>
      <w:bookmarkEnd w:id="19"/>
    </w:p>
    <w:p>
      <w:pPr>
        <w:pStyle w:val="Instructions"/>
      </w:pPr>
      <w:r>
        <w:rPr/>
        <w:t xml:space="preserve">You may document this and related work as follows:</w:t>
      </w:r>
    </w:p>
    <w:p>
      <w:pPr>
        <w:pStyle w:val="Instructionsindent"/>
      </w:pPr>
      <w:r>
        <w:rPr/>
        <w:t xml:space="preserve">Refer to CodeMark Certificate CM40339 for ASKIN XFLAM Performance Panels.</w:t>
      </w:r>
    </w:p>
    <w:p>
      <w:pPr>
        <w:pStyle w:val="Instructionsindent"/>
      </w:pPr>
      <w:r>
        <w:rPr/>
        <w:t xml:space="preserve">Coordinate cool room details with the base building. For example, cool rooms with floors at the same level as the adjacent floor require substantial set downs in the slab, typically 200 mm for a cool room operating above 0°C and 250 mm for a cool room operating below 0°C. Depth will depend on insulation thickness, screed thickness and floor finish. Alternatively, if the insulation cannot be located above the slab, insulation below the slab (and possibly heaters) will be required to prevent condensation and conserve energy.</w:t>
      </w:r>
    </w:p>
    <w:p>
      <w:pPr>
        <w:pStyle w:val="Instructionsindent"/>
      </w:pPr>
      <w:r>
        <w:rPr/>
        <w:t xml:space="preserve">Likewise, some internal finishes, such as floor tiles, may need to be coordinated with building finishes.</w:t>
      </w:r>
    </w:p>
    <w:p>
      <w:pPr>
        <w:pStyle w:val="Instructionsindent"/>
      </w:pPr>
      <w:r>
        <w:rPr/>
        <w:t xml:space="preserve">Show the location of refrigeration equipment on the drawings, paying attention to adequate provision of cooling air intakes and discharge.</w:t>
      </w:r>
    </w:p>
    <w:p>
      <w:pPr>
        <w:pStyle w:val="Instructionsindent"/>
      </w:pPr>
      <w:r>
        <w:rPr/>
        <w:t xml:space="preserve">The luminaire type can be nominated while the location of luminaires may be shown on the drawings or left to the contractor to determine based on default text.</w:t>
      </w:r>
    </w:p>
    <w:p>
      <w:pPr>
        <w:pStyle w:val="Instructionsindent"/>
      </w:pPr>
      <w:r>
        <w:rPr/>
        <w:t xml:space="preserve">Local regulations may apply, notably in relation to Work Health and Safety, health (food storage), laboratory safety and practices.</w:t>
      </w:r>
    </w:p>
    <w:p>
      <w:pPr>
        <w:pStyle w:val="Instructionsindent"/>
      </w:pPr>
      <w:r>
        <w:rPr/>
        <w:t xml:space="preserve">Consider access to the space above cool rooms and equipment. Sandwich panels, although rigid, may not be adequate for the applied loads.</w:t>
      </w:r>
    </w:p>
    <w:p>
      <w:pPr>
        <w:pStyle w:val="Instructionsindent"/>
      </w:pPr>
      <w:r>
        <w:rPr/>
        <w:t xml:space="preserve">If shelving is to be attached to cool room walls, consider the method of fixing to minimise cold bridging and formation of condensation on the outside of the cool room.</w:t>
      </w:r>
    </w:p>
    <w:p>
      <w:pPr>
        <w:pStyle w:val="Instructionsindent"/>
      </w:pPr>
      <w:r>
        <w:rPr/>
        <w:t xml:space="preserve">Make sure there is adequate airflow into and away from condensing units, particularly if mounted indoors or if drop‑in units are documented.</w:t>
      </w:r>
    </w:p>
    <w:p>
      <w:pPr>
        <w:pStyle w:val="Instructionsindent"/>
      </w:pPr>
      <w:r>
        <w:rPr/>
        <w:t xml:space="preserve">Since cool rooms vary in temperature more than the surrounding spaces, make adequate provision to accommodate thermal movement, particularly near doors with anti‑condensation heater cables</w:t>
      </w:r>
      <w:r>
        <w:rPr>
          <w:b/>
        </w:rPr>
        <w:t xml:space="preserve">.</w:t>
      </w:r>
    </w:p>
    <w:p>
      <w:pPr>
        <w:pStyle w:val="Instructionsindent"/>
      </w:pPr>
      <w:r>
        <w:rPr/>
        <w:t xml:space="preserve">This worksection includes the option of Class 2L (lower flammability) refrigerants to AS/NZS ISO 817 (2016). If used, make sure the relevant provisions of AS/NZS 5149.1 (2016), AS/NZS 5149.2 (2016), AS/NZS 5149.3 (2016) and AS/NZS 5149.4 (2016) are incorporated. Issues to consider include plant location, plant room size, plant room ventilation and refrigerant alarms.</w:t>
      </w:r>
    </w:p>
    <w:p>
      <w:pPr>
        <w:pStyle w:val="Instructionsindent"/>
      </w:pPr>
      <w:r>
        <w:rPr/>
        <w:t xml:space="preserve">Refer to AIRAH DA12 (2020), which, in addition to recommendations on energy conservation, contains useful design information relevant to Australia.</w:t>
      </w:r>
    </w:p>
    <w:p>
      <w:pPr>
        <w:pStyle w:val="Instructionsindent"/>
      </w:pPr>
      <w:r>
        <w:rPr/>
        <w:t xml:space="preserve">Consider ventilation requirements. This worksection assumes cool rooms are intermittently occupied. If they are continuously occupied at times, conform to AS 1668.2 (2024).</w:t>
      </w:r>
    </w:p>
    <w:bookmarkStart w:name="f-28358" w:id="20"/>
    <w:bookmarkStart w:name="f-28358-2" w:id="21"/>
    <w:p>
      <w:pPr>
        <w:pStyle w:val="Instructionsindent"/>
      </w:pPr>
      <w:r>
        <w:rPr/>
        <w:t xml:space="preserve">This worksection includes reference to BCA (2025) Section J. NCC (2025) notes that for Class 2 buildings, BCA (2025) Section J is replaced by the equivalent section in NCC (2022). If your project is required to be to another edition of the NCC, review all NCC citations in this worksection and edit accordingly.</w:t>
      </w:r>
    </w:p>
    <w:bookmarkEnd w:id="21"/>
    <w:bookmarkEnd w:id="20"/>
    <w:bookmarkStart w:name="f-18097" w:id="22"/>
    <w:bookmarkStart w:name="f-18097-2" w:id="23"/>
    <w:p>
      <w:pPr>
        <w:pStyle w:val="Instructions"/>
      </w:pPr>
      <w:r>
        <w:rPr/>
        <w:t xml:space="preserve">This worksection </w:t>
      </w:r>
      <w:r>
        <w:rPr>
          <w:i/>
        </w:rPr>
        <w:t xml:space="preserve">Template</w:t>
      </w:r>
      <w:r>
        <w:rPr/>
        <w:t xml:space="preserve"> contains text that may be adapted for use in Design and Construct projects. See NATSPEC TECHreport TR 03 on specifying Design and Construct for mechanical services.</w:t>
      </w:r>
    </w:p>
    <w:bookmarkEnd w:id="23"/>
    <w:bookmarkEnd w:id="22"/>
    <w:bookmarkStart w:name="f-8338" w:id="24"/>
    <w:bookmarkStart w:name="f-8338-1" w:id="25"/>
    <w:p>
      <w:pPr>
        <w:pStyle w:val="Instructions"/>
      </w:pPr>
      <w:r>
        <w:rPr/>
        <w:t xml:space="preserve">The </w:t>
      </w:r>
      <w:r>
        <w:rPr>
          <w:i/>
        </w:rPr>
        <w:t xml:space="preserve">Normal</w:t>
      </w:r>
      <w:r>
        <w:rPr/>
        <w:t xml:space="preserve"> style text of this worksection may refer to items as being documented elsewhere in the contract documentation. Make sure they are documented.</w:t>
      </w:r>
    </w:p>
    <w:bookmarkEnd w:id="25"/>
    <w:bookmarkEnd w:id="24"/>
    <w:bookmarkEnd w:id="18"/>
    <w:bookmarkStart w:name="f-10702-t7-1" w:id="26"/>
    <w:p>
      <w:pPr>
        <w:pStyle w:val="InstructionsHeading4"/>
      </w:pPr>
      <w:bookmarkStart w:name="h-10702-t7-1" w:id="27"/>
      <w:r>
        <w:rPr/>
        <w:t xml:space="preserve">Specifying ESD</w:t>
      </w:r>
      <w:bookmarkEnd w:id="27"/>
    </w:p>
    <w:p>
      <w:pPr>
        <w:pStyle w:val="Instructions"/>
      </w:pPr>
      <w:r>
        <w:rPr/>
        <w:t xml:space="preserve">ASKIN</w:t>
      </w:r>
      <w:r>
        <w:rPr>
          <w:vertAlign w:val="superscript"/>
        </w:rPr>
        <w:t xml:space="preserve">®</w:t>
      </w:r>
      <w:r>
        <w:rPr/>
        <w:t xml:space="preserve"> XFLAM performance panels have the following sustainable product attributes:</w:t>
      </w:r>
    </w:p>
    <w:p>
      <w:pPr>
        <w:pStyle w:val="Instructionsindent"/>
      </w:pPr>
      <w:r>
        <w:rPr/>
        <w:t xml:space="preserve">Thermal and acoustic performance.</w:t>
      </w:r>
    </w:p>
    <w:p>
      <w:pPr>
        <w:pStyle w:val="Instructionsindent"/>
      </w:pPr>
      <w:r>
        <w:rPr/>
        <w:t xml:space="preserve">Easy to seal slip joint facilitating efficient hermetically sealed construction to allow controlled airflow and heating and cooling of the internal environment.</w:t>
      </w:r>
    </w:p>
    <w:p>
      <w:pPr>
        <w:pStyle w:val="Instructionsindent"/>
      </w:pPr>
      <w:r>
        <w:rPr/>
        <w:t xml:space="preserve">100% recyclable and may incorporate a proportion of granulated offcuts. The steel skins are recovered and recycled into new steel.</w:t>
      </w:r>
    </w:p>
    <w:p>
      <w:pPr>
        <w:pStyle w:val="Instructionsindent"/>
      </w:pPr>
      <w:r>
        <w:rPr/>
        <w:t xml:space="preserve">Measures to minimise condensation, leading to greater equipment life and limiting risk of microbial growth.</w:t>
      </w:r>
    </w:p>
    <w:p>
      <w:pPr>
        <w:pStyle w:val="Instructionsindent"/>
      </w:pPr>
      <w:r>
        <w:rPr/>
        <w:t xml:space="preserve">Prohibition on the use of CFCs and HCFCs as blowing agents.</w:t>
      </w:r>
    </w:p>
    <w:p>
      <w:pPr>
        <w:pStyle w:val="Instructionsindent"/>
      </w:pPr>
      <w:r>
        <w:rPr/>
        <w:t xml:space="preserve">Durable components, particularly for corrosion resistance.</w:t>
      </w:r>
    </w:p>
    <w:p>
      <w:pPr>
        <w:pStyle w:val="Instructionsindent"/>
      </w:pPr>
      <w:r>
        <w:rPr/>
        <w:t xml:space="preserve">Provisions for reducing vibration.</w:t>
      </w:r>
    </w:p>
    <w:p>
      <w:pPr>
        <w:pStyle w:val="Instructionsindent"/>
      </w:pPr>
      <w:r>
        <w:rPr/>
        <w:t xml:space="preserve">Features recommended by AIRAH DA12 (2020) to increase energy efficiency. Refer to AIRAH DA12 (2020) for additional energy saving options.</w:t>
      </w:r>
    </w:p>
    <w:p>
      <w:pPr>
        <w:pStyle w:val="Instructionsindent"/>
      </w:pPr>
      <w:r>
        <w:rPr/>
        <w:t xml:space="preserve">pH neutral matrix, which is inert and resistant to water ingress.</w:t>
      </w:r>
    </w:p>
    <w:p>
      <w:pPr>
        <w:pStyle w:val="Instructionsindent"/>
      </w:pPr>
      <w:r>
        <w:rPr/>
        <w:t xml:space="preserve">Production plants with extremely low carbon footprint, nil water use and minimal atmospheric or other emissions.</w:t>
      </w:r>
    </w:p>
    <w:p>
      <w:pPr>
        <w:pStyle w:val="Instructionsindent"/>
      </w:pPr>
      <w:r>
        <w:rPr/>
        <w:t xml:space="preserve">During its lifetime, ASKIN</w:t>
      </w:r>
      <w:r>
        <w:rPr>
          <w:vertAlign w:val="superscript"/>
        </w:rPr>
        <w:t xml:space="preserve">®</w:t>
      </w:r>
      <w:r>
        <w:rPr/>
        <w:t xml:space="preserve"> XFLAM insulating material will save many times more energy through reduction of heating and cooling requirements than the energy or resources required to manufacture it.</w:t>
      </w:r>
    </w:p>
    <w:p>
      <w:pPr>
        <w:pStyle w:val="Instructions"/>
      </w:pPr>
      <w:r>
        <w:rPr/>
        <w:t xml:space="preserve">Refer to NATSPEC TECHreport TR 01 on specifying ESD.</w:t>
      </w:r>
    </w:p>
    <w:bookmarkEnd w:id="26"/>
    <w:bookmarkStart w:name="f-10702-2" w:id="28"/>
    <w:bookmarkStart w:name="f-10698" w:id="29"/>
    <w:bookmarkStart w:name="f-10698-1" w:id="30"/>
    <w:p>
      <w:pPr>
        <w:pStyle w:val="Heading2"/>
      </w:pPr>
      <w:bookmarkStart w:name="h-10698-1" w:id="31"/>
      <w:r>
        <w:rPr/>
        <w:t xml:space="preserve">GENERAL</w:t>
      </w:r>
      <w:bookmarkEnd w:id="31"/>
    </w:p>
    <w:bookmarkEnd w:id="30"/>
    <w:bookmarkStart w:name="f-10698-10698.1" w:id="32"/>
    <w:p>
      <w:pPr>
        <w:pStyle w:val="Instructions"/>
      </w:pPr>
      <w:r>
        <w:rPr>
          <w:b/>
        </w:rPr>
        <w:t xml:space="preserve">ASKIN</w:t>
      </w:r>
      <w:r>
        <w:rPr>
          <w:vertAlign w:val="superscript"/>
        </w:rPr>
        <w:t xml:space="preserve">®</w:t>
      </w:r>
      <w:r>
        <w:rPr/>
        <w:t xml:space="preserve"> is an Australian‑owned manufacturer and installer of facade systems, roofing systems and temperature controlled facilities in Australasia. ASKIN</w:t>
      </w:r>
      <w:r>
        <w:rPr>
          <w:vertAlign w:val="superscript"/>
        </w:rPr>
        <w:t xml:space="preserve">®</w:t>
      </w:r>
      <w:r>
        <w:rPr/>
        <w:t xml:space="preserve"> embraces a customer first approach in delivering sustainable, lifetime value. With a network of 12 sites throughout Australia and New Zealand, ASKIN</w:t>
      </w:r>
      <w:r>
        <w:rPr>
          <w:vertAlign w:val="superscript"/>
        </w:rPr>
        <w:t xml:space="preserve">®</w:t>
      </w:r>
      <w:r>
        <w:rPr/>
        <w:t xml:space="preserve">'s vast experience is built upon a strong foundation dating back to 1964. ASKIN</w:t>
      </w:r>
      <w:r>
        <w:rPr>
          <w:vertAlign w:val="superscript"/>
        </w:rPr>
        <w:t xml:space="preserve">®</w:t>
      </w:r>
      <w:r>
        <w:rPr/>
        <w:t xml:space="preserve">'s culture of constant improvement, quality and safety assurance is supported by our technical expertise and ISO 9001 (2015) and ISO 14001 (2015) accreditation.</w:t>
      </w:r>
    </w:p>
    <w:bookmarkEnd w:id="32"/>
    <w:bookmarkStart w:name="f-10698-2" w:id="33"/>
    <w:p>
      <w:pPr>
        <w:pStyle w:val="Heading3"/>
      </w:pPr>
      <w:bookmarkStart w:name="h-10698-2" w:id="34"/>
      <w:r>
        <w:rPr/>
        <w:t xml:space="preserve">RESPONSIBILITIES</w:t>
      </w:r>
      <w:bookmarkEnd w:id="34"/>
    </w:p>
    <w:bookmarkEnd w:id="33"/>
    <w:bookmarkStart w:name="f-10698-3" w:id="35"/>
    <w:p>
      <w:pPr>
        <w:pStyle w:val="Heading4"/>
      </w:pPr>
      <w:bookmarkStart w:name="h-10698-3" w:id="36"/>
      <w:r>
        <w:rPr/>
        <w:t xml:space="preserve">General</w:t>
      </w:r>
      <w:bookmarkEnd w:id="36"/>
    </w:p>
    <w:p>
      <w:pPr>
        <w:pStyle w:val="Body Text"/>
      </w:pPr>
      <w:r>
        <w:rPr/>
        <w:t xml:space="preserve">Requirement: Provide refrigerated cool rooms using ASKIN® XFLAM performance panels, as documented.</w:t>
      </w:r>
    </w:p>
    <w:bookmarkStart w:name="f-23055" w:id="37"/>
    <w:bookmarkStart w:name="f-23055-1" w:id="38"/>
    <w:p>
      <w:pPr>
        <w:pStyle w:val="Instructions"/>
      </w:pPr>
      <w:r>
        <w:rPr>
          <w:i/>
        </w:rPr>
        <w:t xml:space="preserve">Documented</w:t>
      </w:r>
      <w:r>
        <w:rPr/>
        <w:t xml:space="preserve"> is defined in </w:t>
      </w:r>
      <w:r>
        <w:rPr>
          <w:i/>
        </w:rPr>
        <w:t xml:space="preserve">0171 General requirements</w:t>
      </w:r>
      <w:r>
        <w:rPr/>
        <w:t xml:space="preserve"> as meaning contained in the contract documents.</w:t>
      </w:r>
    </w:p>
    <w:bookmarkEnd w:id="38"/>
    <w:bookmarkEnd w:id="37"/>
    <w:bookmarkEnd w:id="35"/>
    <w:bookmarkStart w:name="f-10698-4" w:id="39"/>
    <w:p>
      <w:pPr>
        <w:pStyle w:val="OptionalHeading3"/>
      </w:pPr>
      <w:bookmarkStart w:name="h-10698-4" w:id="40"/>
      <w:r>
        <w:rPr/>
        <w:t xml:space="preserve">DESIGN</w:t>
      </w:r>
      <w:bookmarkEnd w:id="40"/>
    </w:p>
    <w:p>
      <w:pPr>
        <w:pStyle w:val="Instructions"/>
      </w:pPr>
      <w:r>
        <w:rPr/>
        <w:t xml:space="preserve">Cool rooms are provided by specialist subcontractors on essentially a design and construct basis to meet specified performance parameters.</w:t>
      </w:r>
    </w:p>
    <w:p>
      <w:pPr>
        <w:pStyle w:val="Instructions"/>
      </w:pPr>
      <w:r>
        <w:rPr/>
        <w:t xml:space="preserve">The </w:t>
      </w:r>
      <w:r>
        <w:rPr>
          <w:i/>
        </w:rPr>
        <w:t xml:space="preserve">Optional</w:t>
      </w:r>
      <w:r>
        <w:rPr/>
        <w:t xml:space="preserve"> style text in this clause may be used by changing it to </w:t>
      </w:r>
      <w:r>
        <w:rPr>
          <w:i/>
        </w:rPr>
        <w:t xml:space="preserve">Normal</w:t>
      </w:r>
      <w:r>
        <w:rPr/>
        <w:t xml:space="preserve"> style text if the contractor is to design and select the cool rooms and associated refrigeration equipment. Use </w:t>
      </w:r>
      <w:r>
        <w:rPr>
          <w:i/>
        </w:rPr>
        <w:t xml:space="preserve">0701 Mechanical systems</w:t>
      </w:r>
      <w:r>
        <w:rPr/>
        <w:t xml:space="preserve"> to describe design parameters for mechanical systems, as a whole, including the basis for calculating the cool room capacities.</w:t>
      </w:r>
    </w:p>
    <w:p>
      <w:pPr>
        <w:pStyle w:val="Instructions"/>
      </w:pPr>
      <w:r>
        <w:rPr/>
        <w:t xml:space="preserve">The SELECTIONS schedules provide a means for the specifier to define basic cool room parameters from which the contractor will complete the design including sizing and selecting the plant, and detailing the construction.</w:t>
      </w:r>
    </w:p>
    <w:p>
      <w:pPr>
        <w:pStyle w:val="Instructions"/>
      </w:pPr>
      <w:r>
        <w:rPr/>
        <w:t xml:space="preserve">Selection parameters included in the SELECTIONS schedules should not be repeated here. The schedules' </w:t>
      </w:r>
      <w:r>
        <w:rPr>
          <w:i/>
        </w:rPr>
        <w:t xml:space="preserve">Guidance</w:t>
      </w:r>
      <w:r>
        <w:rPr/>
        <w:t xml:space="preserve"> text includes suggestions for modification to suit design and construct projects.</w:t>
      </w:r>
    </w:p>
    <w:bookmarkEnd w:id="39"/>
    <w:bookmarkStart w:name="f-10698-5" w:id="41"/>
    <w:p>
      <w:pPr>
        <w:pStyle w:val="OptionalHeading4"/>
      </w:pPr>
      <w:bookmarkStart w:name="h-10698-5" w:id="42"/>
      <w:r>
        <w:rPr/>
        <w:t xml:space="preserve">General</w:t>
      </w:r>
      <w:bookmarkEnd w:id="42"/>
    </w:p>
    <w:p>
      <w:pPr>
        <w:pStyle w:val="OptionalNormal"/>
      </w:pPr>
      <w:r>
        <w:rPr/>
        <w:t xml:space="preserve">Requirement: Design refrigerated cool rooms to </w:t>
      </w:r>
      <w:r>
        <w:rPr>
          <w:b/>
        </w:rPr>
        <w:t xml:space="preserve">DESIGN</w:t>
      </w:r>
      <w:r>
        <w:rPr/>
        <w:t xml:space="preserve"> in </w:t>
      </w:r>
      <w:r>
        <w:rPr>
          <w:i/>
        </w:rPr>
        <w:t xml:space="preserve">0701 Mechanical systems</w:t>
      </w:r>
      <w:r>
        <w:rPr/>
        <w:t xml:space="preserve"> and as documented.</w:t>
      </w:r>
    </w:p>
    <w:bookmarkEnd w:id="41"/>
    <w:bookmarkStart w:name="f-10698-6" w:id="43"/>
    <w:p>
      <w:pPr>
        <w:pStyle w:val="OptionalHeading4"/>
      </w:pPr>
      <w:bookmarkStart w:name="h-10698-6" w:id="44"/>
      <w:r>
        <w:rPr/>
        <w:t xml:space="preserve">Design documentation</w:t>
      </w:r>
      <w:bookmarkEnd w:id="44"/>
    </w:p>
    <w:p>
      <w:pPr>
        <w:pStyle w:val="Instructions"/>
      </w:pPr>
      <w:r>
        <w:rPr/>
        <w:t xml:space="preserve">This is a partial list of items only. Edit to suit the project. Drawings relating to whole systems should be included in </w:t>
      </w:r>
      <w:r>
        <w:rPr>
          <w:i/>
        </w:rPr>
        <w:t xml:space="preserve">0701 Mechanical systems</w:t>
      </w:r>
      <w:r>
        <w:rPr/>
        <w:t xml:space="preserve">.</w:t>
      </w:r>
    </w:p>
    <w:p>
      <w:pPr>
        <w:pStyle w:val="OptionalNormal"/>
      </w:pPr>
      <w:r>
        <w:rPr/>
        <w:t xml:space="preserve">General: To </w:t>
      </w:r>
      <w:r>
        <w:rPr>
          <w:b/>
        </w:rPr>
        <w:t xml:space="preserve">DESIGN DOCUMENTS</w:t>
      </w:r>
      <w:r>
        <w:rPr/>
        <w:t xml:space="preserve"> in </w:t>
      </w:r>
      <w:r>
        <w:rPr>
          <w:i/>
        </w:rPr>
        <w:t xml:space="preserve">0171 General requirements</w:t>
      </w:r>
      <w:r>
        <w:rPr/>
        <w:t xml:space="preserve">.</w:t>
      </w:r>
    </w:p>
    <w:p>
      <w:pPr>
        <w:pStyle w:val="OptionalNormal"/>
      </w:pPr>
      <w:r>
        <w:rPr/>
        <w:t xml:space="preserve">Calculations: Provide calculations of the refrigeration system and assumptions made using the design processes detailed in AIRAH DA12 (2020).</w:t>
      </w:r>
    </w:p>
    <w:p>
      <w:pPr>
        <w:pStyle w:val="OptionalNormal"/>
      </w:pPr>
      <w:r>
        <w:rPr/>
        <w:t xml:space="preserve">Drawings: In addition to the drawings documented in </w:t>
      </w:r>
      <w:r>
        <w:rPr>
          <w:b/>
        </w:rPr>
        <w:t xml:space="preserve">SUBMISSIONS</w:t>
      </w:r>
      <w:r>
        <w:rPr/>
        <w:t xml:space="preserve">, </w:t>
      </w:r>
      <w:r>
        <w:rPr>
          <w:b/>
        </w:rPr>
        <w:t xml:space="preserve">Shop drawings</w:t>
      </w:r>
      <w:r>
        <w:rPr/>
        <w:t xml:space="preserve">, provide the following:</w:t>
      </w:r>
    </w:p>
    <w:p>
      <w:pPr>
        <w:pStyle w:val="OptionalNormalIndent"/>
      </w:pPr>
      <w:r>
        <w:rPr/>
        <w:t xml:space="preserve">Location of refrigeration equipment.</w:t>
      </w:r>
    </w:p>
    <w:p>
      <w:pPr>
        <w:pStyle w:val="OptionalNormalIndent"/>
      </w:pPr>
      <w:r>
        <w:rPr/>
        <w:t xml:space="preserve">Access to space above cool rooms and equipment.</w:t>
      </w:r>
    </w:p>
    <w:p>
      <w:pPr>
        <w:pStyle w:val="OptionalNormalIndent"/>
      </w:pPr>
      <w:r>
        <w:rPr/>
        <w:t xml:space="preserve">Details of shelving.</w:t>
      </w:r>
    </w:p>
    <w:p>
      <w:pPr>
        <w:pStyle w:val="OptionalNormalIndent"/>
      </w:pPr>
      <w:r>
        <w:rPr/>
        <w:t xml:space="preserve">Details of external and internal finishes and protection.</w:t>
      </w:r>
    </w:p>
    <w:p>
      <w:pPr>
        <w:pStyle w:val="OptionalNormalIndent"/>
      </w:pPr>
      <w:r>
        <w:rPr/>
        <w:t xml:space="preserve">Arrangement for adequate airflow into and away from condensing units.</w:t>
      </w:r>
    </w:p>
    <w:p>
      <w:pPr>
        <w:pStyle w:val="OptionalNormalIndent"/>
      </w:pPr>
      <w:r>
        <w:fldChar w:fldCharType="begin"/>
        <w:instrText xml:space="preserve"> MACROBUTTON  ac_OnHelp [complete/delete]</w:instrText>
        <w:fldChar w:fldCharType="separate"/>
        <w:t xml:space="preserve"> </w:t>
        <w:fldChar w:fldCharType="end"/>
      </w:r>
    </w:p>
    <w:bookmarkEnd w:id="43"/>
    <w:bookmarkStart w:name="f-10698-10698.2" w:id="45"/>
    <w:p>
      <w:pPr>
        <w:pStyle w:val="Heading3"/>
      </w:pPr>
      <w:bookmarkStart w:name="h-10698-10698.2" w:id="46"/>
      <w:r>
        <w:rPr/>
        <w:t xml:space="preserve">COMPANY CONTACTS</w:t>
      </w:r>
      <w:bookmarkEnd w:id="46"/>
    </w:p>
    <w:bookmarkEnd w:id="45"/>
    <w:bookmarkStart w:name="f-10698-10698.3" w:id="47"/>
    <w:p>
      <w:pPr>
        <w:pStyle w:val="Heading4"/>
      </w:pPr>
      <w:bookmarkStart w:name="h-10698-10698.3" w:id="48"/>
      <w:r>
        <w:rPr/>
        <w:t xml:space="preserve">ASKIN® technical contacts</w:t>
      </w:r>
      <w:bookmarkEnd w:id="48"/>
    </w:p>
    <w:p>
      <w:pPr>
        <w:pStyle w:val="Body Text"/>
      </w:pPr>
      <w:r>
        <w:rPr/>
        <w:t xml:space="preserve">Website: </w:t>
      </w:r>
      <w:r>
        <w:fldChar w:fldCharType="begin"/>
      </w:r>
      <w:r>
        <w:instrText xml:space="preserve"> HYPERLINK "http://www.askin.net.au/contact" </w:instrText>
      </w:r>
      <w:r>
        <w:fldChar w:fldCharType="separate"/>
      </w:r>
      <w:r>
        <w:rPr>
          <w:rStyle w:val="Hyperlink"/>
        </w:rPr>
        <w:t>www.askin.net.au/contact</w:t>
      </w:r>
      <w:r>
        <w:fldChar w:fldCharType="end"/>
      </w:r>
    </w:p>
    <w:bookmarkEnd w:id="47"/>
    <w:bookmarkStart w:name="f-10698-7" w:id="49"/>
    <w:p>
      <w:pPr>
        <w:pStyle w:val="Heading3"/>
      </w:pPr>
      <w:bookmarkStart w:name="h-10698-7" w:id="50"/>
      <w:r>
        <w:rPr/>
        <w:t xml:space="preserve">CROSS REFERENCES</w:t>
      </w:r>
      <w:bookmarkEnd w:id="50"/>
    </w:p>
    <w:bookmarkEnd w:id="49"/>
    <w:bookmarkStart w:name="f-10698-8" w:id="51"/>
    <w:bookmarkStart w:name="f-7977" w:id="52"/>
    <w:bookmarkStart w:name="f-7977-1" w:id="53"/>
    <w:p>
      <w:pPr>
        <w:pStyle w:val="Heading4"/>
      </w:pPr>
      <w:bookmarkStart w:name="h-7977-1" w:id="54"/>
      <w:r>
        <w:rPr/>
        <w:t xml:space="preserve">General</w:t>
      </w:r>
      <w:bookmarkEnd w:id="54"/>
    </w:p>
    <w:p>
      <w:pPr>
        <w:pStyle w:val="Body Text"/>
      </w:pPr>
      <w:r>
        <w:rPr/>
        <w:t xml:space="preserve">Requirement: Conform to the following:</w:t>
      </w:r>
    </w:p>
    <w:p>
      <w:pPr>
        <w:pStyle w:val="NormalIndent"/>
      </w:pPr>
      <w:r>
        <w:rPr>
          <w:i/>
        </w:rPr>
        <w:t xml:space="preserve">0171 General requirements</w:t>
      </w:r>
      <w:r>
        <w:rPr/>
        <w:t xml:space="preserve">.</w:t>
      </w:r>
    </w:p>
    <w:p>
      <w:pPr>
        <w:pStyle w:val="Instructions"/>
      </w:pPr>
      <w:r>
        <w:rPr>
          <w:i/>
        </w:rPr>
        <w:t xml:space="preserve">0171 General requirements</w:t>
      </w:r>
      <w:r>
        <w:rPr/>
        <w:t xml:space="preserve"> contains umbrella requirements for all building and services worksections.</w:t>
      </w:r>
    </w:p>
    <w:p>
      <w:pPr>
        <w:pStyle w:val="Instructions"/>
      </w:pPr>
      <w:r>
        <w:rPr/>
        <w:t xml:space="preserve">List the worksections cross referenced by this worksection. </w:t>
      </w:r>
      <w:r>
        <w:rPr>
          <w:i/>
        </w:rPr>
        <w:t xml:space="preserve">0171 General requirements</w:t>
      </w:r>
      <w:r>
        <w:rPr/>
        <w:t xml:space="preserve"> references the </w:t>
      </w:r>
      <w:r>
        <w:rPr>
          <w:i/>
        </w:rPr>
        <w:t xml:space="preserve">018 Common requirements</w:t>
      </w:r>
      <w:r>
        <w:rPr/>
        <w:t xml:space="preserve"> subgroup of worksections. It is not necessary to repeat them here. However, you may also wish to direct the contractor to other worksections where there may be work that is closely associated with this work.</w:t>
      </w:r>
    </w:p>
    <w:p>
      <w:pPr>
        <w:pStyle w:val="Instructions"/>
      </w:pPr>
      <w:r>
        <w:rPr/>
        <w:t xml:space="preserve">NATSPEC uses generic worksection titles, whether or not there are branded equivalents. If you use a branded worksection, change the cross reference here.</w:t>
      </w:r>
    </w:p>
    <w:bookmarkEnd w:id="53"/>
    <w:bookmarkEnd w:id="52"/>
    <w:p>
      <w:pPr>
        <w:pStyle w:val="NormalIndent"/>
      </w:pPr>
      <w:r>
        <w:rPr>
          <w:i/>
        </w:rPr>
        <w:t xml:space="preserve">0701 Mechanical systems</w:t>
      </w:r>
      <w:r>
        <w:rPr/>
        <w:t xml:space="preserve">.</w:t>
      </w:r>
    </w:p>
    <w:p>
      <w:pPr>
        <w:pStyle w:val="Instructions"/>
      </w:pPr>
      <w:r>
        <w:rPr>
          <w:i/>
        </w:rPr>
        <w:t xml:space="preserve">0701 Mechanical systems</w:t>
      </w:r>
      <w:r>
        <w:rPr/>
        <w:t xml:space="preserve"> deals with matters common to more than one Mechanical worksection.</w:t>
      </w:r>
    </w:p>
    <w:p>
      <w:pPr>
        <w:pStyle w:val="NormalIndent"/>
      </w:pPr>
      <w:r>
        <w:rPr>
          <w:i/>
        </w:rPr>
        <w:t xml:space="preserve">0771 Automatic controls</w:t>
      </w:r>
      <w:r>
        <w:rPr/>
        <w:t xml:space="preserve">.</w:t>
      </w:r>
    </w:p>
    <w:p>
      <w:pPr>
        <w:pStyle w:val="NormalIndent"/>
      </w:pPr>
      <w:r>
        <w:rPr>
          <w:i/>
        </w:rPr>
        <w:t xml:space="preserve">0781 Mechanical electrical</w:t>
      </w:r>
      <w:r>
        <w:rPr/>
        <w:t xml:space="preserve">.</w:t>
      </w:r>
    </w:p>
    <w:p>
      <w:pPr>
        <w:pStyle w:val="NormalIndent"/>
      </w:pPr>
      <w:r>
        <w:rPr>
          <w:i/>
        </w:rPr>
        <w:t xml:space="preserve">0791 Mechanical commissioning</w:t>
      </w:r>
      <w:r>
        <w:rPr/>
        <w:t xml:space="preserve">.</w:t>
      </w:r>
    </w:p>
    <w:p>
      <w:pPr>
        <w:pStyle w:val="NormalIndent"/>
      </w:pPr>
      <w:r>
        <w:rPr>
          <w:i/>
        </w:rPr>
        <w:t xml:space="preserve">0792 Mechanical maintenance</w:t>
      </w:r>
      <w:r>
        <w:rPr/>
        <w:t xml:space="preserve">.</w:t>
      </w:r>
    </w:p>
    <w:bookmarkEnd w:id="51"/>
    <w:bookmarkStart w:name="f-10698-9" w:id="55"/>
    <w:p>
      <w:pPr>
        <w:pStyle w:val="Heading3"/>
      </w:pPr>
      <w:bookmarkStart w:name="h-10698-9" w:id="56"/>
      <w:r>
        <w:rPr/>
        <w:t xml:space="preserve">STANDARDS</w:t>
      </w:r>
      <w:bookmarkEnd w:id="56"/>
    </w:p>
    <w:bookmarkEnd w:id="55"/>
    <w:bookmarkStart w:name="f-10698-10" w:id="57"/>
    <w:p>
      <w:pPr>
        <w:pStyle w:val="Heading4"/>
      </w:pPr>
      <w:bookmarkStart w:name="h-10698-10" w:id="58"/>
      <w:r>
        <w:rPr/>
        <w:t xml:space="preserve">General</w:t>
      </w:r>
      <w:bookmarkEnd w:id="58"/>
    </w:p>
    <w:p>
      <w:pPr>
        <w:pStyle w:val="Body Text"/>
      </w:pPr>
      <w:r>
        <w:rPr/>
        <w:t xml:space="preserve">Refrigeration systems: To AS/NZS 5149.1 (2016), AS/NZS 5149.2 (2016), AS/NZS 5149.3 (2016) and AS/NZS 5149.4 (2016).</w:t>
      </w:r>
    </w:p>
    <w:p>
      <w:pPr>
        <w:pStyle w:val="Instructions"/>
      </w:pPr>
      <w:r>
        <w:rPr/>
        <w:t xml:space="preserve">AS/NZS 5149.1 (2016), AS/NZS 5149.2 (2016), AS/NZS 5149.3 (2016) and AS/NZS 5149.4 (2016) deal with safety and environmental aspects of refrigeration systems. They are based on the corresponding ISO 5149 series standards but with Australian amendments including a performance option in Appendix ZZ of each part of the standard.</w:t>
      </w:r>
    </w:p>
    <w:p>
      <w:pPr>
        <w:pStyle w:val="Instructions"/>
      </w:pPr>
      <w:r>
        <w:rPr/>
        <w:t xml:space="preserve">See NATSPEC TECHnote PRO 007 on refrigerant.</w:t>
      </w:r>
    </w:p>
    <w:p>
      <w:pPr>
        <w:pStyle w:val="Body Text"/>
      </w:pPr>
      <w:r>
        <w:rPr/>
        <w:t xml:space="preserve">Cool rooms for food storage: To AS 4674 (2004).</w:t>
      </w:r>
    </w:p>
    <w:p>
      <w:pPr>
        <w:pStyle w:val="Instructions"/>
      </w:pPr>
      <w:r>
        <w:rPr/>
        <w:t xml:space="preserve">This standard covers matters including finishes, fixtures, fittings and lighting for the design and construction of food premises.</w:t>
      </w:r>
    </w:p>
    <w:p>
      <w:pPr>
        <w:pStyle w:val="Instructions"/>
      </w:pPr>
      <w:r>
        <w:rPr/>
        <w:t xml:space="preserve">AS 4674 (2004) uses the terms chiller and freezer without defining them.</w:t>
      </w:r>
    </w:p>
    <w:p>
      <w:pPr>
        <w:pStyle w:val="Body Text"/>
      </w:pPr>
      <w:r>
        <w:rPr/>
        <w:t xml:space="preserve">Electrical safety: To AS/NZS 60335.1 (2022) and AS/NZS 60335.2.89 (2020).</w:t>
      </w:r>
    </w:p>
    <w:p>
      <w:pPr>
        <w:pStyle w:val="Body Text"/>
      </w:pPr>
      <w:r>
        <w:rPr/>
        <w:t xml:space="preserve">Insulated panels: To IPCA Code of practice (2017).</w:t>
      </w:r>
    </w:p>
    <w:p>
      <w:pPr>
        <w:pStyle w:val="Instructions"/>
      </w:pPr>
      <w:r>
        <w:rPr/>
        <w:t xml:space="preserve">IPCA is a voluntary code of practice that includes a specification and certification scheme.</w:t>
      </w:r>
    </w:p>
    <w:bookmarkEnd w:id="57"/>
    <w:bookmarkStart w:name="f-10698-10698.4" w:id="59"/>
    <w:p>
      <w:pPr>
        <w:pStyle w:val="Heading3"/>
      </w:pPr>
      <w:bookmarkStart w:name="h-10698-10698.4" w:id="60"/>
      <w:r>
        <w:rPr/>
        <w:t xml:space="preserve">MANUFACTURER'S DOCUMENTS</w:t>
      </w:r>
      <w:bookmarkEnd w:id="60"/>
    </w:p>
    <w:bookmarkEnd w:id="59"/>
    <w:bookmarkStart w:name="f-10698-10698.5" w:id="61"/>
    <w:p>
      <w:pPr>
        <w:pStyle w:val="Heading4"/>
      </w:pPr>
      <w:bookmarkStart w:name="h-10698-10698.5" w:id="62"/>
      <w:r>
        <w:rPr/>
        <w:t xml:space="preserve">Technical manuals</w:t>
      </w:r>
      <w:bookmarkEnd w:id="62"/>
    </w:p>
    <w:p>
      <w:pPr>
        <w:pStyle w:val="Body Text"/>
      </w:pPr>
      <w:r>
        <w:rPr/>
        <w:t xml:space="preserve">Brochures and technical information: </w:t>
      </w:r>
      <w:r>
        <w:fldChar w:fldCharType="begin"/>
      </w:r>
      <w:r>
        <w:instrText xml:space="preserve"> HYPERLINK "https://www.askin.net.au/downloads/#askin-spec-sheets" </w:instrText>
      </w:r>
      <w:r>
        <w:fldChar w:fldCharType="separate"/>
      </w:r>
      <w:r>
        <w:rPr>
          <w:rStyle w:val="Hyperlink"/>
        </w:rPr>
        <w:t>www.askin.net.au/downloads/#askin‑spec‑sheets</w:t>
      </w:r>
      <w:r>
        <w:fldChar w:fldCharType="end"/>
      </w:r>
    </w:p>
    <w:p>
      <w:pPr>
        <w:pStyle w:val="Instructions"/>
      </w:pPr>
      <w:r>
        <w:rPr/>
        <w:t xml:space="preserve">ASKIN</w:t>
      </w:r>
      <w:r>
        <w:rPr>
          <w:vertAlign w:val="superscript"/>
        </w:rPr>
        <w:t xml:space="preserve">®</w:t>
      </w:r>
      <w:r>
        <w:rPr/>
        <w:t xml:space="preserve"> provides technical information in a variety of formats including CAD files of details.</w:t>
      </w:r>
    </w:p>
    <w:bookmarkEnd w:id="61"/>
    <w:bookmarkStart w:name="f-10698-11" w:id="63"/>
    <w:p>
      <w:pPr>
        <w:pStyle w:val="Heading3"/>
      </w:pPr>
      <w:bookmarkStart w:name="h-10698-11" w:id="64"/>
      <w:r>
        <w:rPr/>
        <w:t xml:space="preserve">INTERPRETATION</w:t>
      </w:r>
      <w:bookmarkEnd w:id="64"/>
    </w:p>
    <w:bookmarkEnd w:id="63"/>
    <w:bookmarkStart w:name="f-10698-25" w:id="65"/>
    <w:p>
      <w:pPr>
        <w:pStyle w:val="Heading4"/>
      </w:pPr>
      <w:bookmarkStart w:name="h-10698-25" w:id="66"/>
      <w:r>
        <w:rPr/>
        <w:t xml:space="preserve">Abbreviations</w:t>
      </w:r>
      <w:bookmarkEnd w:id="66"/>
    </w:p>
    <w:p>
      <w:pPr>
        <w:pStyle w:val="Body Text"/>
      </w:pPr>
      <w:r>
        <w:rPr/>
        <w:t xml:space="preserve">General: For the purposes of this worksection, the following abbreviations apply:</w:t>
      </w:r>
    </w:p>
    <w:p>
      <w:pPr>
        <w:pStyle w:val="NormalIndent"/>
      </w:pPr>
      <w:r>
        <w:rPr/>
        <w:t xml:space="preserve">ABS: Acrylonitrile butadiene styrene.</w:t>
      </w:r>
    </w:p>
    <w:p>
      <w:pPr>
        <w:pStyle w:val="NormalIndent"/>
      </w:pPr>
      <w:r>
        <w:rPr/>
        <w:t xml:space="preserve">BMS: Building management system.</w:t>
      </w:r>
    </w:p>
    <w:p>
      <w:pPr>
        <w:pStyle w:val="Instructions"/>
      </w:pPr>
      <w:r>
        <w:rPr/>
        <w:t xml:space="preserve">Similar terms are DDC (direct digital control) and BAC (building automation and control system). Adjust to suit the project terminology.</w:t>
      </w:r>
    </w:p>
    <w:p>
      <w:pPr>
        <w:pStyle w:val="NormalIndent"/>
      </w:pPr>
      <w:r>
        <w:rPr/>
        <w:t xml:space="preserve">IPCA: Insulated Panel Council Australasia.</w:t>
      </w:r>
    </w:p>
    <w:bookmarkStart w:name="f-21482" w:id="67"/>
    <w:bookmarkStart w:name="f-21482-1" w:id="68"/>
    <w:p>
      <w:pPr>
        <w:pStyle w:val="Instructions"/>
      </w:pPr>
      <w:r>
        <w:rPr/>
        <w:t xml:space="preserve">Edit the </w:t>
      </w:r>
      <w:r>
        <w:rPr>
          <w:b/>
        </w:rPr>
        <w:t xml:space="preserve">Abbreviations</w:t>
      </w:r>
      <w:r>
        <w:rPr/>
        <w:t xml:space="preserve"> subclause to suit the project or delete if not required. List alphabetically.</w:t>
      </w:r>
    </w:p>
    <w:bookmarkEnd w:id="68"/>
    <w:bookmarkEnd w:id="67"/>
    <w:bookmarkEnd w:id="65"/>
    <w:bookmarkStart w:name="f-10698-12" w:id="69"/>
    <w:p>
      <w:pPr>
        <w:pStyle w:val="Heading4"/>
      </w:pPr>
      <w:bookmarkStart w:name="h-10698-12" w:id="70"/>
      <w:r>
        <w:rPr/>
        <w:t xml:space="preserve">Definitions</w:t>
      </w:r>
      <w:bookmarkEnd w:id="70"/>
    </w:p>
    <w:p>
      <w:pPr>
        <w:pStyle w:val="Body Text"/>
      </w:pPr>
      <w:r>
        <w:rPr/>
        <w:t xml:space="preserve">General: For the purposes of this worksection, the following definitions apply:</w:t>
      </w:r>
    </w:p>
    <w:bookmarkEnd w:id="69"/>
    <w:bookmarkStart w:name="f-10698-12-d2-1" w:id="71"/>
    <w:p>
      <w:pPr>
        <w:pStyle w:val="NormalIndent"/>
      </w:pPr>
      <w:r>
        <w:rPr/>
        <w:t xml:space="preserve">Cool room: A refrigerated space that is designed to maintain a temperature below 5°C and is used primarily for the storage of product.</w:t>
      </w:r>
    </w:p>
    <w:bookmarkEnd w:id="71"/>
    <w:bookmarkStart w:name="f-10698-12-d3" w:id="72"/>
    <w:p>
      <w:pPr>
        <w:pStyle w:val="Instructions"/>
      </w:pPr>
      <w:r>
        <w:rPr/>
        <w:t xml:space="preserve">Product is used generically to refer to the contents stored and so encompasses perishable materials such as food and temperature sensitive materials such as some pharmaceuticals.</w:t>
      </w:r>
    </w:p>
    <w:bookmarkStart w:name="f-7220" w:id="73"/>
    <w:bookmarkStart w:name="f-7220-1" w:id="74"/>
    <w:p>
      <w:pPr>
        <w:pStyle w:val="Instructions"/>
      </w:pPr>
      <w:r>
        <w:rPr/>
        <w:t xml:space="preserve">Edit the </w:t>
      </w:r>
      <w:r>
        <w:rPr>
          <w:b/>
        </w:rPr>
        <w:t xml:space="preserve">Definitions</w:t>
      </w:r>
      <w:r>
        <w:rPr/>
        <w:t xml:space="preserve"> subclause to suit the project or delete if not required. List alphabetically.</w:t>
      </w:r>
    </w:p>
    <w:bookmarkEnd w:id="74"/>
    <w:bookmarkEnd w:id="73"/>
    <w:bookmarkEnd w:id="72"/>
    <w:bookmarkStart w:name="f-10698-15" w:id="75"/>
    <w:p>
      <w:pPr>
        <w:pStyle w:val="Heading3"/>
      </w:pPr>
      <w:bookmarkStart w:name="h-10698-15" w:id="76"/>
      <w:r>
        <w:rPr/>
        <w:t xml:space="preserve">SUBMISSIONS</w:t>
      </w:r>
      <w:bookmarkEnd w:id="76"/>
    </w:p>
    <w:bookmarkEnd w:id="75"/>
    <w:bookmarkStart w:name="f-10698-16" w:id="77"/>
    <w:p>
      <w:pPr>
        <w:pStyle w:val="Heading4"/>
      </w:pPr>
      <w:bookmarkStart w:name="h-10698-16" w:id="78"/>
      <w:r>
        <w:rPr/>
        <w:t xml:space="preserve">Certification</w:t>
      </w:r>
      <w:bookmarkEnd w:id="78"/>
    </w:p>
    <w:p>
      <w:pPr>
        <w:pStyle w:val="Body Text"/>
      </w:pPr>
      <w:r>
        <w:rPr/>
        <w:t xml:space="preserve">Cool room and cool room location structural and trafficable ceilings: Submit certification of the ceiling from a structural engineer.</w:t>
      </w:r>
    </w:p>
    <w:bookmarkEnd w:id="77"/>
    <w:bookmarkStart w:name="f-10698-17" w:id="79"/>
    <w:p>
      <w:pPr>
        <w:pStyle w:val="Heading4"/>
      </w:pPr>
      <w:bookmarkStart w:name="h-10698-17" w:id="80"/>
      <w:r>
        <w:rPr/>
        <w:t xml:space="preserve">Fire performance</w:t>
      </w:r>
      <w:bookmarkEnd w:id="80"/>
    </w:p>
    <w:p>
      <w:pPr>
        <w:pStyle w:val="Body Text"/>
      </w:pPr>
      <w:r>
        <w:rPr/>
        <w:t xml:space="preserve">Fire hazard properties: Submit evidence of conformity to </w:t>
      </w:r>
      <w:r>
        <w:rPr>
          <w:b/>
        </w:rPr>
        <w:t xml:space="preserve">FIRE PERFORMANCE</w:t>
      </w:r>
      <w:r>
        <w:rPr/>
        <w:t xml:space="preserve">, </w:t>
      </w:r>
      <w:r>
        <w:rPr>
          <w:b/>
        </w:rPr>
        <w:t xml:space="preserve">Fire hazard properties</w:t>
      </w:r>
      <w:r>
        <w:rPr/>
        <w:t xml:space="preserve">.</w:t>
      </w:r>
    </w:p>
    <w:p>
      <w:pPr>
        <w:pStyle w:val="Body Text"/>
      </w:pPr>
      <w:r>
        <w:rPr/>
        <w:t xml:space="preserve">Fire‑resistance level: Submit evidence of conformity to </w:t>
      </w:r>
      <w:r>
        <w:rPr>
          <w:b/>
        </w:rPr>
        <w:t xml:space="preserve">FIRE PERFORMANCE</w:t>
      </w:r>
      <w:r>
        <w:rPr/>
        <w:t xml:space="preserve">, </w:t>
      </w:r>
      <w:r>
        <w:rPr>
          <w:b/>
        </w:rPr>
        <w:t xml:space="preserve">Fire‑resistance of building elements</w:t>
      </w:r>
      <w:r>
        <w:rPr/>
        <w:t xml:space="preserve">.</w:t>
      </w:r>
    </w:p>
    <w:bookmarkEnd w:id="79"/>
    <w:bookmarkStart w:name="f-10698-26" w:id="81"/>
    <w:bookmarkStart w:name="f-6950" w:id="82"/>
    <w:bookmarkStart w:name="f-6950-1" w:id="83"/>
    <w:p>
      <w:pPr>
        <w:pStyle w:val="Heading4"/>
      </w:pPr>
      <w:bookmarkStart w:name="h-6950-1" w:id="84"/>
      <w:r>
        <w:rPr/>
        <w:t xml:space="preserve">Operation and maintenance manuals</w:t>
      </w:r>
      <w:bookmarkEnd w:id="84"/>
    </w:p>
    <w:p>
      <w:pPr>
        <w:pStyle w:val="Body Text"/>
      </w:pPr>
      <w:r>
        <w:rPr/>
        <w:t xml:space="preserve">Requirement: Submit manual to </w:t>
      </w:r>
      <w:r>
        <w:rPr>
          <w:b/>
        </w:rPr>
        <w:t xml:space="preserve">COMPLETION</w:t>
      </w:r>
      <w:r>
        <w:rPr/>
        <w:t xml:space="preserve">, </w:t>
      </w:r>
      <w:r>
        <w:rPr>
          <w:b/>
        </w:rPr>
        <w:t xml:space="preserve">Operation and maintenance manuals</w:t>
      </w:r>
      <w:r>
        <w:rPr/>
        <w:t xml:space="preserve">.</w:t>
      </w:r>
    </w:p>
    <w:bookmarkEnd w:id="83"/>
    <w:bookmarkEnd w:id="82"/>
    <w:bookmarkEnd w:id="81"/>
    <w:bookmarkStart w:name="f-10698-18" w:id="85"/>
    <w:p>
      <w:pPr>
        <w:pStyle w:val="Heading4"/>
      </w:pPr>
      <w:bookmarkStart w:name="h-10698-18" w:id="86"/>
      <w:r>
        <w:rPr/>
        <w:t xml:space="preserve">Products and materials</w:t>
      </w:r>
      <w:bookmarkEnd w:id="86"/>
    </w:p>
    <w:p>
      <w:pPr>
        <w:pStyle w:val="Body Text"/>
      </w:pPr>
      <w:r>
        <w:rPr/>
        <w:t xml:space="preserve">Thermal insulation properties: Submit evidence of conformity to AS/NZS 4859.1 (2018).</w:t>
      </w:r>
    </w:p>
    <w:p>
      <w:pPr>
        <w:pStyle w:val="Instructions"/>
      </w:pPr>
      <w:r>
        <w:rPr/>
        <w:t xml:space="preserve">This is primarily to verify claimed R‑Values for NCC compliance.</w:t>
      </w:r>
    </w:p>
    <w:p>
      <w:pPr>
        <w:pStyle w:val="Instructions"/>
      </w:pPr>
      <w:r>
        <w:rPr/>
        <w:t xml:space="preserve">Thermal insulation performance for ASKIN</w:t>
      </w:r>
      <w:r>
        <w:rPr>
          <w:vertAlign w:val="superscript"/>
        </w:rPr>
        <w:t xml:space="preserve">®</w:t>
      </w:r>
      <w:r>
        <w:rPr/>
        <w:t xml:space="preserve"> XFLAM performance panels is verified by CodeMark. Refer to CodeMark Certificate CM40339.</w:t>
      </w:r>
    </w:p>
    <w:bookmarkStart w:name="f-9369" w:id="87"/>
    <w:bookmarkStart w:name="f-9369-1" w:id="88"/>
    <w:p>
      <w:pPr>
        <w:pStyle w:val="OptionalNormal"/>
      </w:pPr>
      <w:r>
        <w:rPr/>
        <w:t xml:space="preserve">Evidence of delivery: Submit delivery docket as evidence of delivery of the following:</w:t>
      </w:r>
    </w:p>
    <w:p>
      <w:pPr>
        <w:pStyle w:val="OptionalNormalIndent"/>
      </w:pPr>
      <w:r>
        <w:fldChar w:fldCharType="begin"/>
        <w:instrText xml:space="preserve"> MACROBUTTON  ac_OnHelp [complete/delete]</w:instrText>
        <w:fldChar w:fldCharType="separate"/>
        <w:t xml:space="preserve"> </w:t>
        <w:fldChar w:fldCharType="end"/>
      </w:r>
    </w:p>
    <w:p>
      <w:pPr>
        <w:pStyle w:val="Instructions"/>
      </w:pPr>
      <w:r>
        <w:rPr/>
        <w:t xml:space="preserve">If evidence of delivery to site is required for particular products, consider including this </w:t>
      </w:r>
      <w:r>
        <w:rPr>
          <w:i/>
        </w:rPr>
        <w:t xml:space="preserve">Optional</w:t>
      </w:r>
      <w:r>
        <w:rPr/>
        <w:t xml:space="preserve"> style text by changing to </w:t>
      </w:r>
      <w:r>
        <w:rPr>
          <w:i/>
        </w:rPr>
        <w:t xml:space="preserve">Normal</w:t>
      </w:r>
      <w:r>
        <w:rPr/>
        <w:t xml:space="preserve"> style.</w:t>
      </w:r>
    </w:p>
    <w:bookmarkEnd w:id="88"/>
    <w:bookmarkEnd w:id="87"/>
    <w:p>
      <w:pPr>
        <w:pStyle w:val="Body Text"/>
      </w:pPr>
      <w:r>
        <w:rPr/>
        <w:t xml:space="preserve">Panels: Submit evidence of conformity to IPCA Code of practice (2017).</w:t>
      </w:r>
    </w:p>
    <w:p>
      <w:pPr>
        <w:pStyle w:val="Body Text"/>
      </w:pPr>
      <w:r>
        <w:rPr/>
        <w:t xml:space="preserve">Type tests: Submit test results for the following:</w:t>
      </w:r>
    </w:p>
    <w:p>
      <w:pPr>
        <w:pStyle w:val="NormalIndent"/>
      </w:pPr>
      <w:r>
        <w:rPr/>
        <w:t xml:space="preserve">Refrigeration equipment: To </w:t>
      </w:r>
      <w:r>
        <w:rPr>
          <w:b/>
        </w:rPr>
        <w:t xml:space="preserve">REFRIGERATION PLANT GENERALLY</w:t>
      </w:r>
      <w:r>
        <w:rPr/>
        <w:t xml:space="preserve">,</w:t>
      </w:r>
      <w:r>
        <w:rPr>
          <w:b/>
        </w:rPr>
        <w:t xml:space="preserve"> Tests</w:t>
      </w:r>
      <w:r>
        <w:rPr/>
        <w:t xml:space="preserve">.</w:t>
      </w:r>
    </w:p>
    <w:bookmarkStart w:name="f-18096" w:id="89"/>
    <w:bookmarkStart w:name="f-18096-2" w:id="90"/>
    <w:p>
      <w:pPr>
        <w:pStyle w:val="Instructions"/>
      </w:pPr>
      <w:r>
        <w:rPr>
          <w:b/>
        </w:rPr>
        <w:t xml:space="preserve">TESTING ‑ GENERALLY</w:t>
      </w:r>
      <w:r>
        <w:rPr/>
        <w:t xml:space="preserve"> in </w:t>
      </w:r>
      <w:r>
        <w:rPr>
          <w:i/>
        </w:rPr>
        <w:t xml:space="preserve">0171 General requirements</w:t>
      </w:r>
      <w:r>
        <w:rPr/>
        <w:t xml:space="preserve"> requires that all testing be done by an Accredited Testing Laboratory except for site tests or test methods that do not have an Accredited Testing Laboratory. Accredited Testing Laboratory is defined in </w:t>
      </w:r>
      <w:r>
        <w:rPr>
          <w:i/>
        </w:rPr>
        <w:t xml:space="preserve">0171 General requirements</w:t>
      </w:r>
      <w:r>
        <w:rPr/>
        <w:t xml:space="preserve">. It includes organisations outside Australia that meet defined criteria.</w:t>
      </w:r>
    </w:p>
    <w:bookmarkEnd w:id="90"/>
    <w:bookmarkEnd w:id="89"/>
    <w:bookmarkStart w:name="f-8391" w:id="91"/>
    <w:bookmarkStart w:name="f-8391-1" w:id="92"/>
    <w:p>
      <w:pPr>
        <w:pStyle w:val="Instructions"/>
      </w:pPr>
      <w:r>
        <w:rPr/>
        <w:t xml:space="preserve">Type tests are carried out off site. However, submission of evidence of a successful type test may be called up here for requirements specified in PRODUCTS.</w:t>
      </w:r>
    </w:p>
    <w:bookmarkEnd w:id="92"/>
    <w:bookmarkEnd w:id="91"/>
    <w:bookmarkEnd w:id="85"/>
    <w:bookmarkStart w:name="f-10698-19" w:id="93"/>
    <w:bookmarkStart w:name="f-18073" w:id="94"/>
    <w:bookmarkStart w:name="f-18073-1" w:id="95"/>
    <w:p>
      <w:pPr>
        <w:pStyle w:val="Heading4"/>
      </w:pPr>
      <w:bookmarkStart w:name="h-18073-1" w:id="96"/>
      <w:r>
        <w:rPr/>
        <w:t xml:space="preserve">Samples</w:t>
      </w:r>
      <w:bookmarkEnd w:id="96"/>
    </w:p>
    <w:p>
      <w:pPr>
        <w:pStyle w:val="Body Text"/>
      </w:pPr>
      <w:r>
        <w:rPr/>
        <w:t xml:space="preserve">Requirement: Submit samples to PRODUCTS, </w:t>
      </w:r>
      <w:r>
        <w:rPr>
          <w:b/>
        </w:rPr>
        <w:t xml:space="preserve">GENERAL</w:t>
      </w:r>
      <w:r>
        <w:rPr/>
        <w:t xml:space="preserve">, </w:t>
      </w:r>
      <w:r>
        <w:rPr>
          <w:b/>
        </w:rPr>
        <w:t xml:space="preserve">Samples</w:t>
      </w:r>
      <w:r>
        <w:rPr/>
        <w:t xml:space="preserve">.</w:t>
      </w:r>
    </w:p>
    <w:bookmarkEnd w:id="95"/>
    <w:bookmarkEnd w:id="94"/>
    <w:bookmarkEnd w:id="93"/>
    <w:bookmarkStart w:name="f-10698-20" w:id="97"/>
    <w:p>
      <w:pPr>
        <w:pStyle w:val="Heading4"/>
      </w:pPr>
      <w:bookmarkStart w:name="h-10698-20" w:id="98"/>
      <w:r>
        <w:rPr/>
        <w:t xml:space="preserve">Shop drawings</w:t>
      </w:r>
      <w:bookmarkEnd w:id="98"/>
    </w:p>
    <w:p>
      <w:pPr>
        <w:pStyle w:val="Body Text"/>
      </w:pPr>
      <w:r>
        <w:rPr/>
        <w:t xml:space="preserve">Requirement: In addition to the requirements of </w:t>
      </w:r>
      <w:r>
        <w:rPr>
          <w:i/>
        </w:rPr>
        <w:t xml:space="preserve">0701 Mechanical systems</w:t>
      </w:r>
      <w:r>
        <w:rPr/>
        <w:t xml:space="preserve">, submit drawings showing the following:</w:t>
      </w:r>
    </w:p>
    <w:p>
      <w:pPr>
        <w:pStyle w:val="NormalIndent"/>
      </w:pPr>
      <w:r>
        <w:rPr/>
        <w:t xml:space="preserve">Plan and cross‑sections of cool room.</w:t>
      </w:r>
    </w:p>
    <w:p>
      <w:pPr>
        <w:pStyle w:val="NormalIndent"/>
      </w:pPr>
      <w:r>
        <w:rPr/>
        <w:t xml:space="preserve">Room construction details including vapour barriers and measures to prevent cold bridging. Provide drawings of each type of the following: </w:t>
      </w:r>
    </w:p>
    <w:p>
      <w:pPr>
        <w:pStyle w:val="NormalIndent2"/>
      </w:pPr>
      <w:r>
        <w:rPr/>
        <w:t xml:space="preserve">Wall to wall joint.</w:t>
      </w:r>
    </w:p>
    <w:p>
      <w:pPr>
        <w:pStyle w:val="NormalIndent2"/>
      </w:pPr>
      <w:r>
        <w:rPr/>
        <w:t xml:space="preserve">Wall to ceiling joint.</w:t>
      </w:r>
    </w:p>
    <w:p>
      <w:pPr>
        <w:pStyle w:val="NormalIndent2"/>
      </w:pPr>
      <w:r>
        <w:rPr/>
        <w:t xml:space="preserve">Wall to floor joint.</w:t>
      </w:r>
    </w:p>
    <w:p>
      <w:pPr>
        <w:pStyle w:val="NormalIndent2"/>
      </w:pPr>
      <w:r>
        <w:rPr/>
        <w:t xml:space="preserve">Partition wall to external wall joint.</w:t>
      </w:r>
    </w:p>
    <w:p>
      <w:pPr>
        <w:pStyle w:val="NormalIndent2"/>
      </w:pPr>
      <w:r>
        <w:rPr/>
        <w:t xml:space="preserve">Panel to panel joint.</w:t>
      </w:r>
    </w:p>
    <w:p>
      <w:pPr>
        <w:pStyle w:val="NormalIndent2"/>
      </w:pPr>
      <w:r>
        <w:rPr/>
        <w:t xml:space="preserve">Door jamb.</w:t>
      </w:r>
    </w:p>
    <w:p>
      <w:pPr>
        <w:pStyle w:val="NormalIndent2"/>
      </w:pPr>
      <w:r>
        <w:rPr/>
        <w:t xml:space="preserve">Floor cross‑section.</w:t>
      </w:r>
    </w:p>
    <w:p>
      <w:pPr>
        <w:pStyle w:val="NormalIndent2"/>
      </w:pPr>
      <w:r>
        <w:rPr/>
        <w:t xml:space="preserve">Ceiling suspension detail.</w:t>
      </w:r>
    </w:p>
    <w:p>
      <w:pPr>
        <w:pStyle w:val="NormalIndent"/>
      </w:pPr>
      <w:r>
        <w:rPr/>
        <w:t xml:space="preserve">Escape provisions.</w:t>
      </w:r>
    </w:p>
    <w:p>
      <w:pPr>
        <w:pStyle w:val="NormalIndent"/>
      </w:pPr>
      <w:r>
        <w:rPr/>
        <w:t xml:space="preserve">Coordination with building elements.</w:t>
      </w:r>
    </w:p>
    <w:p>
      <w:pPr>
        <w:pStyle w:val="NormalIndent"/>
      </w:pPr>
      <w:r>
        <w:rPr/>
        <w:t xml:space="preserve">Provisions for differential thermal movement.</w:t>
      </w:r>
    </w:p>
    <w:p>
      <w:pPr>
        <w:pStyle w:val="NormalIndent"/>
      </w:pPr>
      <w:r>
        <w:rPr/>
        <w:t xml:space="preserve">Condensate drainage.</w:t>
      </w:r>
    </w:p>
    <w:p>
      <w:pPr>
        <w:pStyle w:val="NormalIndent"/>
      </w:pPr>
      <w:r>
        <w:rPr/>
        <w:t xml:space="preserve">Refrigeration system and piping.</w:t>
      </w:r>
    </w:p>
    <w:p>
      <w:pPr>
        <w:pStyle w:val="NormalIndent"/>
      </w:pPr>
      <w:r>
        <w:rPr/>
        <w:t xml:space="preserve">Door and other heaters.</w:t>
      </w:r>
    </w:p>
    <w:p>
      <w:pPr>
        <w:pStyle w:val="NormalIndent"/>
      </w:pPr>
      <w:r>
        <w:rPr/>
        <w:t xml:space="preserve">Lighting including emergency lighting and lighting control location.</w:t>
      </w:r>
    </w:p>
    <w:p>
      <w:pPr>
        <w:pStyle w:val="NormalIndent"/>
      </w:pPr>
      <w:r>
        <w:rPr/>
        <w:t xml:space="preserve">If the cool room is recessed into the floor slab, details of set downs.</w:t>
      </w:r>
    </w:p>
    <w:p>
      <w:pPr>
        <w:pStyle w:val="Instructions"/>
      </w:pPr>
      <w:r>
        <w:rPr/>
        <w:t xml:space="preserve">Typical details can be found in </w:t>
      </w:r>
      <w:r>
        <w:rPr>
          <w:i/>
        </w:rPr>
        <w:t xml:space="preserve">IPCA Code of practice (2017)</w:t>
      </w:r>
      <w:r>
        <w:rPr/>
        <w:t xml:space="preserve"> Annex A.</w:t>
      </w:r>
    </w:p>
    <w:bookmarkEnd w:id="97"/>
    <w:bookmarkStart w:name="f-10698-10698.9" w:id="99"/>
    <w:p>
      <w:pPr>
        <w:pStyle w:val="Heading4"/>
      </w:pPr>
      <w:bookmarkStart w:name="h-10698-10698.9" w:id="100"/>
      <w:r>
        <w:rPr/>
        <w:t xml:space="preserve">Subcontractors</w:t>
      </w:r>
      <w:bookmarkEnd w:id="100"/>
    </w:p>
    <w:p>
      <w:pPr>
        <w:pStyle w:val="Body Text"/>
      </w:pPr>
      <w:r>
        <w:rPr/>
        <w:t xml:space="preserve">General: Submit names and contact details of proposed ASKIN</w:t>
      </w:r>
      <w:r>
        <w:rPr>
          <w:vertAlign w:val="superscript"/>
        </w:rPr>
        <w:t xml:space="preserve">®</w:t>
      </w:r>
      <w:r>
        <w:rPr/>
        <w:t xml:space="preserve"> approved installer.</w:t>
      </w:r>
    </w:p>
    <w:p>
      <w:pPr>
        <w:pStyle w:val="Instructions"/>
      </w:pPr>
      <w:r>
        <w:rPr/>
        <w:t xml:space="preserve">Contact ASKIN</w:t>
      </w:r>
      <w:r>
        <w:rPr>
          <w:vertAlign w:val="superscript"/>
        </w:rPr>
        <w:t xml:space="preserve">®</w:t>
      </w:r>
      <w:r>
        <w:rPr/>
        <w:t xml:space="preserve"> for details of ASKIN</w:t>
      </w:r>
      <w:r>
        <w:rPr>
          <w:vertAlign w:val="superscript"/>
        </w:rPr>
        <w:t xml:space="preserve">®</w:t>
      </w:r>
      <w:r>
        <w:rPr/>
        <w:t xml:space="preserve"> approved installers appropriate to construction in your area. Approved installers meet the requirements of the </w:t>
      </w:r>
      <w:r>
        <w:rPr>
          <w:i/>
        </w:rPr>
        <w:t xml:space="preserve">IPCA Code of practice (2017)</w:t>
      </w:r>
      <w:r>
        <w:rPr/>
        <w:t xml:space="preserve">.</w:t>
      </w:r>
    </w:p>
    <w:bookmarkEnd w:id="99"/>
    <w:bookmarkStart w:name="f-10698-21" w:id="101"/>
    <w:p>
      <w:pPr>
        <w:pStyle w:val="Heading4"/>
      </w:pPr>
      <w:bookmarkStart w:name="h-10698-21" w:id="102"/>
      <w:r>
        <w:rPr/>
        <w:t xml:space="preserve">Tests</w:t>
      </w:r>
      <w:bookmarkEnd w:id="102"/>
    </w:p>
    <w:bookmarkStart w:name="f-22788" w:id="103"/>
    <w:bookmarkStart w:name="f-22788-1" w:id="104"/>
    <w:p>
      <w:pPr>
        <w:pStyle w:val="Instructions"/>
      </w:pPr>
      <w:r>
        <w:rPr/>
        <w:t xml:space="preserve">Detail the tests required in EXECUTION and list the submissions required here.</w:t>
      </w:r>
    </w:p>
    <w:bookmarkEnd w:id="104"/>
    <w:bookmarkEnd w:id="103"/>
    <w:p>
      <w:pPr>
        <w:pStyle w:val="Body Text"/>
      </w:pPr>
      <w:r>
        <w:rPr/>
        <w:t xml:space="preserve">Requirement: Submit test results for the following:</w:t>
      </w:r>
    </w:p>
    <w:p>
      <w:pPr>
        <w:pStyle w:val="NormalIndent"/>
      </w:pPr>
      <w:r>
        <w:rPr/>
        <w:t xml:space="preserve">Testing to </w:t>
      </w:r>
      <w:r>
        <w:rPr>
          <w:b/>
        </w:rPr>
        <w:t xml:space="preserve">EVACUATION OF REFRIGERANT GAS SYSTEMS</w:t>
      </w:r>
      <w:r>
        <w:rPr/>
        <w:t xml:space="preserve">.</w:t>
      </w:r>
    </w:p>
    <w:bookmarkEnd w:id="101"/>
    <w:bookmarkStart w:name="f-10698-22" w:id="105"/>
    <w:bookmarkStart w:name="f-9452" w:id="106"/>
    <w:bookmarkStart w:name="f-9452-1" w:id="107"/>
    <w:p>
      <w:pPr>
        <w:pStyle w:val="Heading4"/>
      </w:pPr>
      <w:bookmarkStart w:name="h-9452-1" w:id="108"/>
      <w:r>
        <w:rPr/>
        <w:t xml:space="preserve">Warranties</w:t>
      </w:r>
      <w:bookmarkEnd w:id="108"/>
    </w:p>
    <w:p>
      <w:pPr>
        <w:pStyle w:val="Body Text"/>
      </w:pPr>
      <w:r>
        <w:rPr/>
        <w:t xml:space="preserve">Requirement: Submit warranties to </w:t>
      </w:r>
      <w:r>
        <w:rPr>
          <w:b/>
        </w:rPr>
        <w:t xml:space="preserve">COMPLETION</w:t>
      </w:r>
      <w:r>
        <w:rPr/>
        <w:t xml:space="preserve">, </w:t>
      </w:r>
      <w:r>
        <w:rPr>
          <w:b/>
        </w:rPr>
        <w:t xml:space="preserve">Warranties</w:t>
      </w:r>
      <w:r>
        <w:rPr/>
        <w:t xml:space="preserve">.</w:t>
      </w:r>
    </w:p>
    <w:bookmarkEnd w:id="107"/>
    <w:bookmarkEnd w:id="106"/>
    <w:bookmarkEnd w:id="105"/>
    <w:bookmarkStart w:name="f-10698-23" w:id="109"/>
    <w:p>
      <w:pPr>
        <w:pStyle w:val="Heading3"/>
      </w:pPr>
      <w:bookmarkStart w:name="h-10698-23" w:id="110"/>
      <w:r>
        <w:rPr/>
        <w:t xml:space="preserve">INSPECTION</w:t>
      </w:r>
      <w:bookmarkEnd w:id="110"/>
    </w:p>
    <w:bookmarkEnd w:id="109"/>
    <w:bookmarkStart w:name="f-10698-24" w:id="111"/>
    <w:p>
      <w:pPr>
        <w:pStyle w:val="Heading4"/>
      </w:pPr>
      <w:bookmarkStart w:name="h-10698-24" w:id="112"/>
      <w:r>
        <w:rPr/>
        <w:t xml:space="preserve">Notice</w:t>
      </w:r>
      <w:bookmarkEnd w:id="112"/>
    </w:p>
    <w:p>
      <w:pPr>
        <w:pStyle w:val="Body Text"/>
      </w:pPr>
      <w:r>
        <w:rPr/>
        <w:t xml:space="preserve">Inspection: Give notice so that inspection may be made of the following:</w:t>
      </w:r>
    </w:p>
    <w:p>
      <w:pPr>
        <w:pStyle w:val="NormalIndent"/>
      </w:pPr>
      <w:r>
        <w:rPr/>
        <w:t xml:space="preserve">Floor slab: Ready for installation of subbase.</w:t>
      </w:r>
    </w:p>
    <w:p>
      <w:pPr>
        <w:pStyle w:val="NormalIndent"/>
      </w:pPr>
      <w:r>
        <w:rPr/>
        <w:t xml:space="preserve">Heated subbase: Complete and before commencing floor laying.</w:t>
      </w:r>
    </w:p>
    <w:p>
      <w:pPr>
        <w:pStyle w:val="NormalIndent"/>
      </w:pPr>
      <w:r>
        <w:rPr/>
        <w:t xml:space="preserve">Vapour barrier: Installed with locating angle in position ready for wall panel installation.</w:t>
      </w:r>
    </w:p>
    <w:p>
      <w:pPr>
        <w:pStyle w:val="NormalIndent"/>
      </w:pPr>
      <w:r>
        <w:rPr/>
        <w:t xml:space="preserve">Membrane: Installed ready for placing wearing surface.</w:t>
      </w:r>
    </w:p>
    <w:p>
      <w:pPr>
        <w:pStyle w:val="Instructions"/>
      </w:pPr>
      <w:r>
        <w:rPr/>
        <w:t xml:space="preserve">If a slab set‑down is not used, the above can be deleted.</w:t>
      </w:r>
    </w:p>
    <w:bookmarkStart w:name="f-28195" w:id="113"/>
    <w:bookmarkStart w:name="f-28195-1" w:id="114"/>
    <w:p>
      <w:pPr>
        <w:pStyle w:val="Instructions"/>
      </w:pPr>
      <w:r>
        <w:rPr/>
        <w:t xml:space="preserve">Edit to suit the project, adding critical stage inspections required.</w:t>
      </w:r>
    </w:p>
    <w:p>
      <w:pPr>
        <w:pStyle w:val="Instructions"/>
      </w:pPr>
      <w:r>
        <w:rPr>
          <w:b/>
        </w:rPr>
        <w:t xml:space="preserve">Hold points</w:t>
      </w:r>
      <w:r>
        <w:rPr/>
        <w:t xml:space="preserve">, if required, should be inserted here.</w:t>
      </w:r>
    </w:p>
    <w:bookmarkEnd w:id="114"/>
    <w:bookmarkEnd w:id="113"/>
    <w:p>
      <w:pPr>
        <w:pStyle w:val="Instructions"/>
      </w:pPr>
      <w:r>
        <w:rPr/>
        <w:t xml:space="preserve">For critical installations, it may be desirable to make the above witness points into hold points.</w:t>
      </w:r>
    </w:p>
    <w:bookmarkEnd w:id="111"/>
    <w:bookmarkEnd w:id="29"/>
    <w:bookmarkStart w:name="f-10697" w:id="115"/>
    <w:bookmarkStart w:name="f-10697-1" w:id="116"/>
    <w:p>
      <w:pPr>
        <w:pStyle w:val="Heading2"/>
      </w:pPr>
      <w:bookmarkStart w:name="h-10697-1" w:id="117"/>
      <w:r>
        <w:rPr/>
        <w:t xml:space="preserve">PRODUCTS</w:t>
      </w:r>
      <w:bookmarkEnd w:id="117"/>
    </w:p>
    <w:bookmarkEnd w:id="116"/>
    <w:bookmarkStart w:name="f-10697-2" w:id="118"/>
    <w:p>
      <w:pPr>
        <w:pStyle w:val="Heading3"/>
      </w:pPr>
      <w:bookmarkStart w:name="h-10697-2" w:id="119"/>
      <w:r>
        <w:rPr/>
        <w:t xml:space="preserve">GENERAL</w:t>
      </w:r>
      <w:bookmarkEnd w:id="119"/>
    </w:p>
    <w:bookmarkEnd w:id="118"/>
    <w:bookmarkStart w:name="f-10697-10697.1" w:id="120"/>
    <w:bookmarkStart w:name="f-8385" w:id="121"/>
    <w:bookmarkStart w:name="f-8385-2" w:id="122"/>
    <w:p>
      <w:pPr>
        <w:pStyle w:val="Heading4"/>
      </w:pPr>
      <w:bookmarkStart w:name="h-8385-2" w:id="123"/>
      <w:r>
        <w:rPr/>
        <w:t xml:space="preserve">Product substitution</w:t>
      </w:r>
      <w:bookmarkEnd w:id="123"/>
    </w:p>
    <w:p>
      <w:pPr>
        <w:pStyle w:val="Body Text"/>
      </w:pPr>
      <w:r>
        <w:rPr/>
        <w:t xml:space="preserve">Other products: Conform to </w:t>
      </w:r>
      <w:r>
        <w:rPr>
          <w:b/>
        </w:rPr>
        <w:t xml:space="preserve">SUBSTITUTIONS</w:t>
      </w:r>
      <w:r>
        <w:rPr/>
        <w:t xml:space="preserve"> in </w:t>
      </w:r>
      <w:r>
        <w:rPr>
          <w:i/>
        </w:rPr>
        <w:t xml:space="preserve">0171 General requirements</w:t>
      </w:r>
      <w:r>
        <w:rPr/>
        <w:t xml:space="preserve">.</w:t>
      </w:r>
    </w:p>
    <w:bookmarkEnd w:id="122"/>
    <w:bookmarkStart w:name="f-8385-3" w:id="124"/>
    <w:p>
      <w:pPr>
        <w:pStyle w:val="Instructions"/>
      </w:pPr>
      <w:r>
        <w:rPr>
          <w:b/>
        </w:rPr>
        <w:t xml:space="preserve">SUBSTITUTIONS</w:t>
      </w:r>
      <w:r>
        <w:rPr/>
        <w:t xml:space="preserve"> in </w:t>
      </w:r>
      <w:r>
        <w:rPr>
          <w:i/>
        </w:rPr>
        <w:t xml:space="preserve">0171 General requirements</w:t>
      </w:r>
      <w:r>
        <w:rPr/>
        <w:t xml:space="preserve"> sets out the submissions required if the contractor proposes alternative products. Refer also to NATSPEC TECHnote GEN 006 for more information on proprietary specification.</w:t>
      </w:r>
    </w:p>
    <w:bookmarkEnd w:id="124"/>
    <w:bookmarkEnd w:id="121"/>
    <w:bookmarkEnd w:id="120"/>
    <w:bookmarkStart w:name="f-10697-10697.2" w:id="125"/>
    <w:bookmarkStart w:name="f-13182" w:id="126"/>
    <w:bookmarkStart w:name="f-13182-1" w:id="127"/>
    <w:p>
      <w:pPr>
        <w:pStyle w:val="Heading4"/>
      </w:pPr>
      <w:bookmarkStart w:name="h-13182-1" w:id="128"/>
      <w:r>
        <w:rPr/>
        <w:t xml:space="preserve">Product identification</w:t>
      </w:r>
      <w:bookmarkEnd w:id="128"/>
    </w:p>
    <w:p>
      <w:pPr>
        <w:pStyle w:val="Body Text"/>
      </w:pPr>
      <w:r>
        <w:rPr/>
        <w:t xml:space="preserve">General: Marked to show the following:</w:t>
      </w:r>
    </w:p>
    <w:p>
      <w:pPr>
        <w:pStyle w:val="NormalIndent"/>
      </w:pPr>
      <w:r>
        <w:rPr/>
        <w:t xml:space="preserve">Manufacturer's identification.</w:t>
      </w:r>
    </w:p>
    <w:p>
      <w:pPr>
        <w:pStyle w:val="NormalIndent"/>
      </w:pPr>
      <w:r>
        <w:rPr/>
        <w:t xml:space="preserve">Product brand name.</w:t>
      </w:r>
    </w:p>
    <w:p>
      <w:pPr>
        <w:pStyle w:val="NormalIndent"/>
      </w:pPr>
      <w:r>
        <w:rPr/>
        <w:t xml:space="preserve">Product type.</w:t>
      </w:r>
    </w:p>
    <w:p>
      <w:pPr>
        <w:pStyle w:val="NormalIndent"/>
      </w:pPr>
      <w:r>
        <w:rPr/>
        <w:t xml:space="preserve">Quantity.</w:t>
      </w:r>
    </w:p>
    <w:p>
      <w:pPr>
        <w:pStyle w:val="NormalIndent"/>
      </w:pPr>
      <w:r>
        <w:rPr/>
        <w:t xml:space="preserve">Product reference code and batch number.</w:t>
      </w:r>
    </w:p>
    <w:p>
      <w:pPr>
        <w:pStyle w:val="NormalIndent"/>
      </w:pPr>
      <w:r>
        <w:rPr/>
        <w:t xml:space="preserve">Date of manufacture.</w:t>
      </w:r>
    </w:p>
    <w:p>
      <w:pPr>
        <w:pStyle w:val="Instructions"/>
      </w:pPr>
      <w:r>
        <w:rPr/>
        <w:t xml:space="preserve">Edit the list to suit the project or delete if not required.</w:t>
      </w:r>
    </w:p>
    <w:bookmarkEnd w:id="127"/>
    <w:bookmarkEnd w:id="126"/>
    <w:bookmarkEnd w:id="125"/>
    <w:bookmarkStart w:name="f-10697-10697.6" w:id="129"/>
    <w:p>
      <w:pPr>
        <w:pStyle w:val="Heading4"/>
      </w:pPr>
      <w:bookmarkStart w:name="h-10697-10697.6" w:id="130"/>
      <w:r>
        <w:rPr/>
        <w:t xml:space="preserve">Samples</w:t>
      </w:r>
      <w:bookmarkEnd w:id="130"/>
    </w:p>
    <w:p>
      <w:pPr>
        <w:pStyle w:val="Body Text"/>
      </w:pPr>
      <w:r>
        <w:rPr/>
        <w:t xml:space="preserve">Requirement: Provide a sample, drawing or photograph of each of the following:</w:t>
      </w:r>
    </w:p>
    <w:p>
      <w:pPr>
        <w:pStyle w:val="NormalIndent"/>
      </w:pPr>
      <w:r>
        <w:rPr/>
        <w:t xml:space="preserve">Wall to wall to ceiling corner joint.</w:t>
      </w:r>
    </w:p>
    <w:p>
      <w:pPr>
        <w:pStyle w:val="NormalIndent"/>
      </w:pPr>
      <w:r>
        <w:rPr/>
        <w:t xml:space="preserve">Panel to panel joint.</w:t>
      </w:r>
    </w:p>
    <w:p>
      <w:pPr>
        <w:pStyle w:val="NormalIndent"/>
      </w:pPr>
      <w:r>
        <w:rPr/>
        <w:t xml:space="preserve">Wall to floor joint.</w:t>
      </w:r>
    </w:p>
    <w:p>
      <w:pPr>
        <w:pStyle w:val="NormalIndent"/>
      </w:pPr>
      <w:r>
        <w:rPr/>
        <w:t xml:space="preserve">Door jamb.</w:t>
      </w:r>
    </w:p>
    <w:p>
      <w:pPr>
        <w:pStyle w:val="NormalIndent"/>
      </w:pPr>
      <w:r>
        <w:rPr/>
        <w:t xml:space="preserve">Floor cross‑section.</w:t>
      </w:r>
    </w:p>
    <w:p>
      <w:pPr>
        <w:pStyle w:val="Body Text"/>
      </w:pPr>
      <w:r>
        <w:rPr/>
        <w:t xml:space="preserve">Cutaway sections: For each sample, provide cutaway sections or standard drawings to permit inspection of application details including insulation materials, adhesives, sealants and fasteners.</w:t>
      </w:r>
    </w:p>
    <w:bookmarkEnd w:id="129"/>
    <w:bookmarkStart w:name="f-10697-3" w:id="131"/>
    <w:p>
      <w:pPr>
        <w:pStyle w:val="Heading4"/>
      </w:pPr>
      <w:bookmarkStart w:name="h-10697-3" w:id="132"/>
      <w:r>
        <w:rPr/>
        <w:t xml:space="preserve">Storage and handling</w:t>
      </w:r>
      <w:bookmarkEnd w:id="132"/>
    </w:p>
    <w:p>
      <w:pPr>
        <w:pStyle w:val="Body Text"/>
      </w:pPr>
      <w:r>
        <w:rPr/>
        <w:t xml:space="preserve">Requirement: Store and handle materials to the manufacturer's recommendations and as follows:</w:t>
      </w:r>
    </w:p>
    <w:p>
      <w:pPr>
        <w:pStyle w:val="NormalIndent"/>
      </w:pPr>
      <w:r>
        <w:rPr/>
        <w:t xml:space="preserve">Provide a safe, secure and trade‑free area for storage.</w:t>
      </w:r>
    </w:p>
    <w:p>
      <w:pPr>
        <w:pStyle w:val="NormalIndent"/>
      </w:pPr>
      <w:r>
        <w:rPr/>
        <w:t xml:space="preserve">Protect materials including edges and surfaces from damage.</w:t>
      </w:r>
    </w:p>
    <w:p>
      <w:pPr>
        <w:pStyle w:val="NormalIndent"/>
      </w:pPr>
      <w:r>
        <w:rPr/>
        <w:t xml:space="preserve">Keep dry and unexposed to weather.</w:t>
      </w:r>
    </w:p>
    <w:p>
      <w:pPr>
        <w:pStyle w:val="NormalIndent"/>
      </w:pPr>
      <w:r>
        <w:rPr/>
        <w:t xml:space="preserve">Do not drag metal sheets or panels across each other or over other materials.</w:t>
      </w:r>
    </w:p>
    <w:p>
      <w:pPr>
        <w:pStyle w:val="NormalIndent"/>
      </w:pPr>
      <w:r>
        <w:rPr/>
        <w:t xml:space="preserve">Insulated panels: Store unpacked panels by size in racks. Protect from scratching, warping or bending.</w:t>
      </w:r>
    </w:p>
    <w:bookmarkEnd w:id="131"/>
    <w:bookmarkStart w:name="f-10697-4" w:id="133"/>
    <w:p>
      <w:pPr>
        <w:pStyle w:val="Heading4"/>
      </w:pPr>
      <w:bookmarkStart w:name="h-10697-4" w:id="134"/>
      <w:r>
        <w:rPr/>
        <w:t xml:space="preserve">Operating conditions</w:t>
      </w:r>
      <w:bookmarkEnd w:id="134"/>
    </w:p>
    <w:p>
      <w:pPr>
        <w:pStyle w:val="Body Text"/>
      </w:pPr>
      <w:r>
        <w:rPr/>
        <w:t xml:space="preserve">General: Provide equipment that operates within an ambient temperature range of 0°C to 45°C, without excessive head pressure or unstable operation.</w:t>
      </w:r>
    </w:p>
    <w:p>
      <w:pPr>
        <w:pStyle w:val="Instructions"/>
      </w:pPr>
      <w:r>
        <w:rPr/>
        <w:t xml:space="preserve">Edit upper and lower temperature to suit the actual conditions of the project area, if necessary.</w:t>
      </w:r>
    </w:p>
    <w:bookmarkEnd w:id="133"/>
    <w:bookmarkStart w:name="f-10697-5" w:id="135"/>
    <w:p>
      <w:pPr>
        <w:pStyle w:val="Heading4"/>
      </w:pPr>
      <w:bookmarkStart w:name="h-10697-5" w:id="136"/>
      <w:r>
        <w:rPr/>
        <w:t xml:space="preserve">Adhesives and sealants</w:t>
      </w:r>
      <w:bookmarkEnd w:id="136"/>
    </w:p>
    <w:p>
      <w:pPr>
        <w:pStyle w:val="Body Text"/>
      </w:pPr>
      <w:r>
        <w:rPr/>
        <w:t xml:space="preserve">Requirement: Conform to </w:t>
      </w:r>
      <w:r>
        <w:rPr>
          <w:b/>
        </w:rPr>
        <w:t xml:space="preserve">ADHESIVES AND SEALANTS</w:t>
      </w:r>
      <w:r>
        <w:rPr/>
        <w:t xml:space="preserve"> in </w:t>
      </w:r>
      <w:r>
        <w:rPr>
          <w:i/>
        </w:rPr>
        <w:t xml:space="preserve">0701 Mechanical systems</w:t>
      </w:r>
      <w:r>
        <w:rPr/>
        <w:t xml:space="preserve">. Provide only materials that are ASKIN® approved for the application and conform to </w:t>
      </w:r>
      <w:r>
        <w:rPr>
          <w:i/>
        </w:rPr>
        <w:t xml:space="preserve">IPCA Code of practice (2017)</w:t>
      </w:r>
      <w:r>
        <w:rPr/>
        <w:t xml:space="preserve">.</w:t>
      </w:r>
    </w:p>
    <w:p>
      <w:pPr>
        <w:pStyle w:val="Instructions"/>
      </w:pPr>
      <w:r>
        <w:rPr>
          <w:i/>
        </w:rPr>
        <w:t xml:space="preserve">0701 Mechanical systems</w:t>
      </w:r>
      <w:r>
        <w:rPr/>
        <w:t xml:space="preserve"> defines sealant as including liquids and mastics.</w:t>
      </w:r>
    </w:p>
    <w:p>
      <w:pPr>
        <w:pStyle w:val="Body Text"/>
      </w:pPr>
      <w:r>
        <w:rPr/>
        <w:t xml:space="preserve">Application: Gun, brush, hand or other means recommended by the manufacturer.</w:t>
      </w:r>
    </w:p>
    <w:bookmarkEnd w:id="135"/>
    <w:bookmarkStart w:name="f-10697-6" w:id="137"/>
    <w:p>
      <w:pPr>
        <w:pStyle w:val="Heading4"/>
      </w:pPr>
      <w:bookmarkStart w:name="h-10697-6" w:id="138"/>
      <w:r>
        <w:rPr/>
        <w:t xml:space="preserve">Corrosion protection</w:t>
      </w:r>
      <w:bookmarkEnd w:id="138"/>
    </w:p>
    <w:p>
      <w:pPr>
        <w:pStyle w:val="Body Text"/>
      </w:pPr>
      <w:r>
        <w:rPr/>
        <w:t xml:space="preserve">Ferrous metals: Either stainless steel or protected from corrosion by hot dip galvanizing or metallic coating.</w:t>
      </w:r>
    </w:p>
    <w:p>
      <w:pPr>
        <w:pStyle w:val="Body Text"/>
      </w:pPr>
      <w:r>
        <w:rPr/>
        <w:t xml:space="preserve">Inside the cool room or outside but subject to condensation: Stainless steel or hot dip galvanized steel.</w:t>
      </w:r>
    </w:p>
    <w:p>
      <w:pPr>
        <w:pStyle w:val="Body Text"/>
      </w:pPr>
      <w:r>
        <w:rPr/>
        <w:t xml:space="preserve">Outside the cool room and not subject to condensation: Stainless steel, hot dip galvanized steel or metallic‑coated steel.</w:t>
      </w:r>
    </w:p>
    <w:p>
      <w:pPr>
        <w:pStyle w:val="Body Text"/>
      </w:pPr>
      <w:r>
        <w:rPr/>
        <w:t xml:space="preserve">Fasteners: Stainless steel or non‑ferrous only.</w:t>
      </w:r>
    </w:p>
    <w:bookmarkEnd w:id="137"/>
    <w:bookmarkStart w:name="f-10697-7" w:id="139"/>
    <w:p>
      <w:pPr>
        <w:pStyle w:val="Heading4"/>
      </w:pPr>
      <w:bookmarkStart w:name="h-10697-7" w:id="140"/>
      <w:r>
        <w:rPr/>
        <w:t xml:space="preserve">Fasteners for panels</w:t>
      </w:r>
      <w:bookmarkEnd w:id="140"/>
    </w:p>
    <w:p>
      <w:pPr>
        <w:pStyle w:val="Body Text"/>
      </w:pPr>
      <w:r>
        <w:rPr/>
        <w:t xml:space="preserve">Rivets: ASKIN</w:t>
      </w:r>
      <w:r>
        <w:rPr>
          <w:vertAlign w:val="superscript"/>
        </w:rPr>
        <w:t xml:space="preserve">®</w:t>
      </w:r>
      <w:r>
        <w:rPr/>
        <w:t xml:space="preserve"> approved expanding solid end type 4.0 mm diameter.</w:t>
      </w:r>
    </w:p>
    <w:p>
      <w:pPr>
        <w:pStyle w:val="Body Text"/>
      </w:pPr>
      <w:r>
        <w:rPr/>
        <w:t xml:space="preserve">Primary fasteners: Provide high threaded self‑drilling, self‑tapping screws with bonded washers, as follows:</w:t>
      </w:r>
    </w:p>
    <w:p>
      <w:pPr>
        <w:pStyle w:val="NormalIndent"/>
      </w:pPr>
      <w:r>
        <w:rPr/>
        <w:t xml:space="preserve">Types, sizes and drilling capacity: As recommended by fastener manufacturer to suit type and thickness of supports, and thickness of panels.</w:t>
      </w:r>
    </w:p>
    <w:p>
      <w:pPr>
        <w:pStyle w:val="NormalIndent"/>
      </w:pPr>
      <w:r>
        <w:rPr/>
        <w:t xml:space="preserve">Screw material: Type 316 austenitic stainless steel.</w:t>
      </w:r>
    </w:p>
    <w:p>
      <w:pPr>
        <w:pStyle w:val="NormalIndent"/>
      </w:pPr>
      <w:r>
        <w:rPr/>
        <w:t xml:space="preserve">Washer material: Non‑ferrous.</w:t>
      </w:r>
    </w:p>
    <w:p>
      <w:pPr>
        <w:pStyle w:val="NormalIndent"/>
      </w:pPr>
      <w:r>
        <w:rPr/>
        <w:t xml:space="preserve">Washer size: 16 mm diameter.</w:t>
      </w:r>
    </w:p>
    <w:p>
      <w:pPr>
        <w:pStyle w:val="NormalIndent"/>
      </w:pPr>
      <w:r>
        <w:rPr/>
        <w:t xml:space="preserve">Heads: Plastic moulded or lacquered.</w:t>
      </w:r>
    </w:p>
    <w:p>
      <w:pPr>
        <w:pStyle w:val="Body Text"/>
      </w:pPr>
      <w:r>
        <w:rPr/>
        <w:t xml:space="preserve">Secondary fasteners: Provide fasteners for internal flashing installation at 300 mm centres, as follows:</w:t>
      </w:r>
    </w:p>
    <w:p>
      <w:pPr>
        <w:pStyle w:val="NormalIndent"/>
      </w:pPr>
      <w:r>
        <w:rPr/>
        <w:t xml:space="preserve">Screw/washer material: As primary fasteners.</w:t>
      </w:r>
    </w:p>
    <w:p>
      <w:pPr>
        <w:pStyle w:val="NormalIndent"/>
      </w:pPr>
      <w:r>
        <w:rPr/>
        <w:t xml:space="preserve">Heads: Low profile, painted to match colour of the flashing.</w:t>
      </w:r>
    </w:p>
    <w:p>
      <w:pPr>
        <w:pStyle w:val="Body Text"/>
      </w:pPr>
      <w:r>
        <w:rPr/>
        <w:t xml:space="preserve">Mushroom bolts: Provide mushroom bolts with threaded rod, lock nut and plastic cover.</w:t>
      </w:r>
    </w:p>
    <w:p>
      <w:pPr>
        <w:pStyle w:val="Body Text"/>
      </w:pPr>
      <w:r>
        <w:rPr/>
        <w:t xml:space="preserve">Screws: Self‑tapping, self‑drilling.</w:t>
      </w:r>
    </w:p>
    <w:bookmarkEnd w:id="139"/>
    <w:bookmarkStart w:name="f-10697-8" w:id="141"/>
    <w:p>
      <w:pPr>
        <w:pStyle w:val="Heading4"/>
      </w:pPr>
      <w:bookmarkStart w:name="h-10697-8" w:id="142"/>
      <w:r>
        <w:rPr/>
        <w:t xml:space="preserve">Refrigerants</w:t>
      </w:r>
      <w:bookmarkEnd w:id="142"/>
    </w:p>
    <w:p>
      <w:pPr>
        <w:pStyle w:val="Body Text"/>
      </w:pPr>
      <w:r>
        <w:rPr/>
        <w:t xml:space="preserve">Requirement: Provide refrigerants as follows:</w:t>
      </w:r>
    </w:p>
    <w:p>
      <w:pPr>
        <w:pStyle w:val="NormalIndent"/>
      </w:pPr>
      <w:r>
        <w:rPr/>
        <w:t xml:space="preserve">Listed as Safety Group A1 or A2L in AS/NZS ISO 817 (2016).</w:t>
      </w:r>
    </w:p>
    <w:p>
      <w:pPr>
        <w:pStyle w:val="Instructions"/>
      </w:pPr>
      <w:r>
        <w:rPr/>
        <w:t xml:space="preserve">Safety Group A1 refrigerants have low toxicity and no flame propagation. Safety Group A2L refrigerants have low toxicity and lower flammability. Refrigerants not listed in AS/NZS ISO 817 (2016) are not covered by AS/NZS 5149.1 (2016), AS/NZS 5149.2 (2016), AS/NZS 5149.3 (2016) or AS/NZS 5149.4 (2016) so should be avoided.</w:t>
      </w:r>
    </w:p>
    <w:p>
      <w:pPr>
        <w:pStyle w:val="NormalIndent"/>
      </w:pPr>
      <w:r>
        <w:rPr/>
        <w:t xml:space="preserve">Ozone Depletion Potential: 0.</w:t>
      </w:r>
    </w:p>
    <w:p>
      <w:pPr>
        <w:pStyle w:val="NormalIndent"/>
      </w:pPr>
      <w:r>
        <w:rPr/>
        <w:t xml:space="preserve">Global Warming Potential: ≤ 700.</w:t>
      </w:r>
    </w:p>
    <w:p>
      <w:pPr>
        <w:pStyle w:val="Instructions"/>
      </w:pPr>
      <w:r>
        <w:rPr/>
        <w:t xml:space="preserve">A Global Warming Potential of 700 represents moderate requirement. Refrigerants with higher or lower values are available. Lower values tend to be associated with higher flammability.</w:t>
      </w:r>
    </w:p>
    <w:p>
      <w:pPr>
        <w:pStyle w:val="Instructions"/>
      </w:pPr>
      <w:r>
        <w:rPr/>
        <w:t xml:space="preserve">Safety Group, Ozone Depletion Potential and Global Warming Potential for refrigerants are listed in AS/NZS 5149.1 (2016) Annex B. See NATSPEC TECHnote PRO 007 on refrigerant options.</w:t>
      </w:r>
    </w:p>
    <w:bookmarkEnd w:id="141"/>
    <w:bookmarkStart w:name="f-10697-9" w:id="143"/>
    <w:p>
      <w:pPr>
        <w:pStyle w:val="Heading4"/>
      </w:pPr>
      <w:bookmarkStart w:name="h-10697-9" w:id="144"/>
      <w:r>
        <w:rPr/>
        <w:t xml:space="preserve">Insulation blowing agents</w:t>
      </w:r>
      <w:bookmarkEnd w:id="144"/>
    </w:p>
    <w:p>
      <w:pPr>
        <w:pStyle w:val="Body Text"/>
      </w:pPr>
      <w:r>
        <w:rPr/>
        <w:t xml:space="preserve">Restricted agents: Conform to PRODUCTS AND MATERIALS, </w:t>
      </w:r>
      <w:r>
        <w:rPr>
          <w:b/>
        </w:rPr>
        <w:t xml:space="preserve">GENERAL</w:t>
      </w:r>
      <w:r>
        <w:rPr/>
        <w:t xml:space="preserve">, </w:t>
      </w:r>
      <w:r>
        <w:rPr>
          <w:b/>
        </w:rPr>
        <w:t xml:space="preserve">Prohibited materials</w:t>
      </w:r>
      <w:r>
        <w:rPr/>
        <w:t xml:space="preserve"> in </w:t>
      </w:r>
      <w:r>
        <w:rPr>
          <w:i/>
        </w:rPr>
        <w:t xml:space="preserve">0171 General requirements</w:t>
      </w:r>
      <w:r>
        <w:rPr/>
        <w:t xml:space="preserve">.</w:t>
      </w:r>
    </w:p>
    <w:bookmarkEnd w:id="143"/>
    <w:bookmarkStart w:name="f-10697-10" w:id="145"/>
    <w:p>
      <w:pPr>
        <w:pStyle w:val="Heading3"/>
      </w:pPr>
      <w:bookmarkStart w:name="h-10697-10" w:id="146"/>
      <w:r>
        <w:rPr/>
        <w:t xml:space="preserve">FIRE PERFORMANCE</w:t>
      </w:r>
      <w:bookmarkEnd w:id="146"/>
    </w:p>
    <w:p>
      <w:pPr>
        <w:pStyle w:val="Instructions"/>
      </w:pPr>
      <w:r>
        <w:rPr/>
        <w:t xml:space="preserve">ASKIN</w:t>
      </w:r>
      <w:r>
        <w:rPr>
          <w:vertAlign w:val="superscript"/>
        </w:rPr>
        <w:t xml:space="preserve">®</w:t>
      </w:r>
      <w:r>
        <w:rPr/>
        <w:t xml:space="preserve"> XFLAM performance panel contains an insulation core made of a syntactic foam sheet that cannot be deemed non‑combustible.</w:t>
      </w:r>
    </w:p>
    <w:p>
      <w:pPr>
        <w:pStyle w:val="Instructions"/>
      </w:pPr>
      <w:r>
        <w:rPr/>
        <w:t xml:space="preserve">The NCC does not prohibit the use of combustible insulation materials provided they meet the other fire hazard properties.</w:t>
      </w:r>
    </w:p>
    <w:bookmarkEnd w:id="145"/>
    <w:bookmarkStart w:name="f-10697-12" w:id="147"/>
    <w:p>
      <w:pPr>
        <w:pStyle w:val="Heading4"/>
      </w:pPr>
      <w:bookmarkStart w:name="h-10697-12" w:id="148"/>
      <w:r>
        <w:rPr/>
        <w:t xml:space="preserve">Fire hazard properties</w:t>
      </w:r>
      <w:bookmarkEnd w:id="148"/>
    </w:p>
    <w:p>
      <w:pPr>
        <w:pStyle w:val="Instructions"/>
      </w:pPr>
      <w:r>
        <w:rPr/>
        <w:t xml:space="preserve">See NATSPEC TECHnote DES 003 for more information on the fire hazard properties of insulation materials and NATSPEC TECHnote DES 020 on fire behaviour of building materials and assemblies.</w:t>
      </w:r>
    </w:p>
    <w:p>
      <w:pPr>
        <w:pStyle w:val="Body Text"/>
      </w:pPr>
      <w:r>
        <w:rPr/>
        <w:t xml:space="preserve">Group number: To AS 5637.1 (2015).</w:t>
      </w:r>
    </w:p>
    <w:p>
      <w:pPr>
        <w:pStyle w:val="Instructions"/>
      </w:pPr>
      <w:r>
        <w:rPr/>
        <w:t xml:space="preserve">ASKIN 100 mm XFLAM panels tested to AS ISO 9705 (2003): Group number 1. Refer to CodeMark Certificate CM40339.</w:t>
      </w:r>
    </w:p>
    <w:p>
      <w:pPr>
        <w:pStyle w:val="Instructions"/>
      </w:pPr>
      <w:r>
        <w:rPr/>
        <w:t xml:space="preserve">Non‑sprinklered buildings: Wall and ceiling linings must either have an average specific extinction area (i.e. smoke density generation) less than 250 m</w:t>
      </w:r>
      <w:r>
        <w:rPr>
          <w:vertAlign w:val="superscript"/>
        </w:rPr>
        <w:t xml:space="preserve">2</w:t>
      </w:r>
      <w:r>
        <w:rPr/>
        <w:t xml:space="preserve">/kg or a smoke growth rate index not more than 100 as determined to AS 5637.1 (2015).</w:t>
      </w:r>
    </w:p>
    <w:p>
      <w:pPr>
        <w:pStyle w:val="Body Text"/>
      </w:pPr>
      <w:r>
        <w:rPr/>
        <w:t xml:space="preserve">Materials: Tested to AS/NZS 1530.3 (1999). Fire hazard properties as follows:</w:t>
      </w:r>
    </w:p>
    <w:p>
      <w:pPr>
        <w:pStyle w:val="NormalIndent"/>
      </w:pPr>
      <w:r>
        <w:rPr/>
        <w:t xml:space="preserve">Wall and ceiling panels: </w:t>
      </w:r>
    </w:p>
    <w:p>
      <w:pPr>
        <w:pStyle w:val="NormalIndent2"/>
      </w:pPr>
      <w:r>
        <w:rPr/>
        <w:t xml:space="preserve">Spread‑of‑Flame Index: ≤ 9.</w:t>
      </w:r>
    </w:p>
    <w:p>
      <w:pPr>
        <w:pStyle w:val="NormalIndent2"/>
      </w:pPr>
      <w:r>
        <w:rPr/>
        <w:t xml:space="preserve">Smoke‑Developed Index: ≤ 8 if Spread‑of‑Flame Index is more than 5.</w:t>
      </w:r>
    </w:p>
    <w:p>
      <w:pPr>
        <w:pStyle w:val="Instructions"/>
      </w:pPr>
      <w:r>
        <w:rPr/>
        <w:t xml:space="preserve">ASKIN 50 mm thick with Z275 G300 steel skins tested to AS/NZS 1530.3 (1999):</w:t>
      </w:r>
    </w:p>
    <w:p>
      <w:pPr>
        <w:pStyle w:val="Instructionsindent"/>
      </w:pPr>
      <w:r>
        <w:rPr/>
        <w:t xml:space="preserve">Ignitability index: 0.</w:t>
      </w:r>
    </w:p>
    <w:p>
      <w:pPr>
        <w:pStyle w:val="Instructionsindent"/>
      </w:pPr>
      <w:r>
        <w:rPr/>
        <w:t xml:space="preserve">Spread‑of‑Flame Index: 0.</w:t>
      </w:r>
    </w:p>
    <w:p>
      <w:pPr>
        <w:pStyle w:val="Instructionsindent"/>
      </w:pPr>
      <w:r>
        <w:rPr/>
        <w:t xml:space="preserve">Heat Evolved Index: 0.</w:t>
      </w:r>
    </w:p>
    <w:p>
      <w:pPr>
        <w:pStyle w:val="Instructionsindent"/>
      </w:pPr>
      <w:r>
        <w:rPr/>
        <w:t xml:space="preserve">Smoke‑Developed Index: 1.</w:t>
      </w:r>
    </w:p>
    <w:p>
      <w:pPr>
        <w:pStyle w:val="Instructions"/>
      </w:pPr>
      <w:r>
        <w:rPr/>
        <w:t xml:space="preserve">Refer to CodeMark Certificate CM40339.</w:t>
      </w:r>
    </w:p>
    <w:p>
      <w:pPr>
        <w:pStyle w:val="NormalIndent"/>
      </w:pPr>
      <w:r>
        <w:rPr/>
        <w:t xml:space="preserve">Refrigeration pipe insulation: </w:t>
      </w:r>
    </w:p>
    <w:p>
      <w:pPr>
        <w:pStyle w:val="NormalIndent2"/>
      </w:pPr>
      <w:r>
        <w:rPr/>
        <w:t xml:space="preserve">Spread‑of‑Flame Index: 0.</w:t>
      </w:r>
    </w:p>
    <w:p>
      <w:pPr>
        <w:pStyle w:val="NormalIndent2"/>
      </w:pPr>
      <w:r>
        <w:rPr/>
        <w:t xml:space="preserve">Smoke‑Developed Index: 2.</w:t>
      </w:r>
    </w:p>
    <w:p>
      <w:pPr>
        <w:pStyle w:val="Body Text"/>
      </w:pPr>
      <w:r>
        <w:rPr/>
        <w:t xml:space="preserve">Materials with reflective facing: Tested to AS/NZS 1530.3 (1999) and the recommendations of clause A6.</w:t>
      </w:r>
    </w:p>
    <w:p>
      <w:pPr>
        <w:pStyle w:val="Instructions"/>
      </w:pPr>
      <w:r>
        <w:rPr/>
        <w:t xml:space="preserve">The requirements above are consistent with the NCC.</w:t>
      </w:r>
    </w:p>
    <w:p>
      <w:pPr>
        <w:pStyle w:val="Instructions"/>
      </w:pPr>
      <w:r>
        <w:rPr/>
        <w:t xml:space="preserve">AS/NZS 1530.3 (1999) is a mandatory standard in the NCC. Smoke‑Developed Index and Spread‑of‑Flame Index are determined under AS/NZS 1530.3 (1999). See also BCA (2025) C2D11.</w:t>
      </w:r>
    </w:p>
    <w:p>
      <w:pPr>
        <w:pStyle w:val="Instructions"/>
      </w:pPr>
      <w:r>
        <w:rPr/>
        <w:t xml:space="preserve">AS/NZS 1530.3 (1999) clause A6 recommends that reflective surfaces of test specimens (which would otherwise generally pass this test) be blackened and diagonally scored in order to simulate soot deposition onto reflective surfaces in a real fire situation.</w:t>
      </w:r>
    </w:p>
    <w:p>
      <w:pPr>
        <w:pStyle w:val="Instructions"/>
      </w:pPr>
      <w:r>
        <w:rPr/>
        <w:t xml:space="preserve">ASKIN</w:t>
      </w:r>
      <w:r>
        <w:rPr>
          <w:vertAlign w:val="superscript"/>
        </w:rPr>
        <w:t xml:space="preserve">®</w:t>
      </w:r>
      <w:r>
        <w:rPr/>
        <w:t xml:space="preserve"> can provide BRANZ, Warringtonfire, FM and CSIRO tests reports on request.</w:t>
      </w:r>
    </w:p>
    <w:p>
      <w:pPr>
        <w:pStyle w:val="Instructions"/>
      </w:pPr>
      <w:r>
        <w:rPr/>
        <w:t xml:space="preserve">The FM Approvals certification mark is intended to verify that the products described meet FM Approvals' stated conditions of performance, safety and quality useful to the ends of property conservation. Visit </w:t>
      </w:r>
      <w:r>
        <w:fldChar w:fldCharType="begin"/>
      </w:r>
      <w:r>
        <w:instrText xml:space="preserve"> HYPERLINK "https://www.fmglobal.com/" </w:instrText>
      </w:r>
      <w:r>
        <w:fldChar w:fldCharType="separate"/>
      </w:r>
      <w:r>
        <w:rPr>
          <w:rStyle w:val="Hyperlink"/>
        </w:rPr>
        <w:t>www.fmglobal.com</w:t>
      </w:r>
      <w:r>
        <w:fldChar w:fldCharType="end"/>
      </w:r>
      <w:r>
        <w:rPr/>
        <w:t xml:space="preserve"> for further information.</w:t>
      </w:r>
    </w:p>
    <w:bookmarkEnd w:id="147"/>
    <w:bookmarkStart w:name="f-10697-13" w:id="149"/>
    <w:p>
      <w:pPr>
        <w:pStyle w:val="Heading4"/>
      </w:pPr>
      <w:bookmarkStart w:name="h-10697-13" w:id="150"/>
      <w:r>
        <w:rPr/>
        <w:t xml:space="preserve">Fire‑resistance of building elements</w:t>
      </w:r>
      <w:bookmarkEnd w:id="150"/>
    </w:p>
    <w:p>
      <w:pPr>
        <w:pStyle w:val="Body Text"/>
      </w:pPr>
      <w:r>
        <w:rPr/>
        <w:t xml:space="preserve">Fire‑resistance level: Tested to AS 1530.4 (2014).</w:t>
      </w:r>
    </w:p>
    <w:p>
      <w:pPr>
        <w:pStyle w:val="Instructions"/>
      </w:pPr>
      <w:r>
        <w:rPr/>
        <w:t xml:space="preserve">See NATSPEC TECHnote DES 020 for information on fire‑resistance levels. Refer also to CodeMark Certificate CM40339.</w:t>
      </w:r>
    </w:p>
    <w:p>
      <w:pPr>
        <w:pStyle w:val="Instructions"/>
      </w:pPr>
      <w:r>
        <w:rPr/>
        <w:t xml:space="preserve">ASKIN</w:t>
      </w:r>
      <w:r>
        <w:rPr>
          <w:vertAlign w:val="superscript"/>
        </w:rPr>
        <w:t xml:space="preserve">®</w:t>
      </w:r>
      <w:r>
        <w:rPr/>
        <w:t xml:space="preserve"> XFLAM panels with a FRL of ‑/30/30 meet the requirement for a non‑load bearing external wall in a Bushfire Attack Level (BAL) FZ to AS 3959 (2018). Other panels provide the following FRLs:</w:t>
      </w:r>
    </w:p>
    <w:p>
      <w:pPr>
        <w:pStyle w:val="Instructionsindent"/>
      </w:pPr>
      <w:r>
        <w:rPr/>
        <w:t xml:space="preserve">100 mm panel: ‑/120/30.</w:t>
      </w:r>
    </w:p>
    <w:p>
      <w:pPr>
        <w:pStyle w:val="Instructionsindent"/>
      </w:pPr>
      <w:r>
        <w:rPr/>
        <w:t xml:space="preserve">160 mm panel: ‑/120/60.</w:t>
      </w:r>
    </w:p>
    <w:p>
      <w:pPr>
        <w:pStyle w:val="Instructionsindent"/>
      </w:pPr>
      <w:r>
        <w:rPr/>
        <w:t xml:space="preserve">220 mm panel: ‑/120/90.</w:t>
      </w:r>
    </w:p>
    <w:p>
      <w:pPr>
        <w:pStyle w:val="Instructionsindent"/>
      </w:pPr>
      <w:r>
        <w:rPr/>
        <w:t xml:space="preserve">250 mm panel: ‑/120/115.</w:t>
      </w:r>
    </w:p>
    <w:p>
      <w:pPr>
        <w:pStyle w:val="Instructionsindent"/>
      </w:pPr>
      <w:r>
        <w:rPr/>
        <w:t xml:space="preserve">275 mm panel: ‑/120/120.</w:t>
      </w:r>
    </w:p>
    <w:p>
      <w:pPr>
        <w:pStyle w:val="Instructionsindent"/>
      </w:pPr>
      <w:r>
        <w:rPr/>
        <w:t xml:space="preserve">100 mm panel + 13 mm Fyrchek plasterboard: ‑/90/60.</w:t>
      </w:r>
    </w:p>
    <w:p>
      <w:pPr>
        <w:pStyle w:val="Instructionsindent"/>
      </w:pPr>
      <w:r>
        <w:rPr/>
        <w:t xml:space="preserve">100 mm panel ceiling: ‑/60/30.</w:t>
      </w:r>
    </w:p>
    <w:bookmarkEnd w:id="149"/>
    <w:bookmarkStart w:name="f-10697-14" w:id="151"/>
    <w:p>
      <w:pPr>
        <w:pStyle w:val="Heading3"/>
      </w:pPr>
      <w:bookmarkStart w:name="h-10697-14" w:id="152"/>
      <w:r>
        <w:rPr/>
        <w:t xml:space="preserve">PRE‑COMPLETION TESTS</w:t>
      </w:r>
      <w:bookmarkEnd w:id="152"/>
    </w:p>
    <w:bookmarkEnd w:id="151"/>
    <w:bookmarkStart w:name="f-10697-15" w:id="153"/>
    <w:p>
      <w:pPr>
        <w:pStyle w:val="Heading4"/>
      </w:pPr>
      <w:bookmarkStart w:name="h-10697-15" w:id="154"/>
      <w:r>
        <w:rPr/>
        <w:t xml:space="preserve">Standards</w:t>
      </w:r>
      <w:bookmarkEnd w:id="154"/>
    </w:p>
    <w:p>
      <w:pPr>
        <w:pStyle w:val="Body Text"/>
      </w:pPr>
      <w:r>
        <w:rPr/>
        <w:t xml:space="preserve">General: Provide refrigeration equipment that has been subjected to physical tests as follows:</w:t>
      </w:r>
    </w:p>
    <w:p>
      <w:pPr>
        <w:pStyle w:val="NormalIndent"/>
      </w:pPr>
      <w:r>
        <w:rPr/>
        <w:t xml:space="preserve">Pressure tests: To AS/NZS 5149.2 (2016).</w:t>
      </w:r>
    </w:p>
    <w:bookmarkEnd w:id="153"/>
    <w:bookmarkStart w:name="f-10697-16" w:id="155"/>
    <w:p>
      <w:pPr>
        <w:pStyle w:val="Heading3"/>
      </w:pPr>
      <w:bookmarkStart w:name="h-10697-16" w:id="156"/>
      <w:r>
        <w:rPr/>
        <w:t xml:space="preserve">ASKIN® XFLAM PERFORMANCE PANELS</w:t>
      </w:r>
      <w:bookmarkEnd w:id="156"/>
    </w:p>
    <w:bookmarkEnd w:id="155"/>
    <w:bookmarkStart w:name="f-10697-10697.3" w:id="157"/>
    <w:p>
      <w:pPr>
        <w:pStyle w:val="Heading4"/>
      </w:pPr>
      <w:bookmarkStart w:name="h-10697-10697.3" w:id="158"/>
      <w:r>
        <w:rPr/>
        <w:t xml:space="preserve">General</w:t>
      </w:r>
      <w:bookmarkEnd w:id="158"/>
    </w:p>
    <w:p>
      <w:pPr>
        <w:pStyle w:val="Body Text"/>
      </w:pPr>
      <w:r>
        <w:rPr/>
        <w:t xml:space="preserve">Requirement: Proprietary panel system comprising manufactured, prefinished structural composite panels with metal faces bonded to each side of an insulating, ASKIN® XFLAM core.</w:t>
      </w:r>
    </w:p>
    <w:p>
      <w:pPr>
        <w:pStyle w:val="Body Text"/>
      </w:pPr>
      <w:r>
        <w:rPr/>
        <w:t xml:space="preserve">Certification: CodeMark Certificate of Conformity CM40339.</w:t>
      </w:r>
    </w:p>
    <w:p>
      <w:pPr>
        <w:pStyle w:val="Instructions"/>
      </w:pPr>
      <w:r>
        <w:rPr/>
        <w:t xml:space="preserve">The date of expiry of this CodeMark Certificate of Conformity is 30/01/2029.</w:t>
      </w:r>
    </w:p>
    <w:bookmarkStart w:name="f-24234" w:id="159"/>
    <w:bookmarkStart w:name="f-24234-1" w:id="160"/>
    <w:p>
      <w:pPr>
        <w:pStyle w:val="Instructions"/>
      </w:pPr>
      <w:r>
        <w:rPr/>
        <w:t xml:space="preserve">See CodeMark Certificate of Conformity for conditions and limitations. To confirm it has not been withdrawn, suspended or superseded by a later issue, see </w:t>
      </w:r>
      <w:r>
        <w:fldChar w:fldCharType="begin"/>
      </w:r>
      <w:r>
        <w:instrText xml:space="preserve"> HYPERLINK "https://register.jasanz.org/codemark-register" </w:instrText>
      </w:r>
      <w:r>
        <w:fldChar w:fldCharType="separate"/>
      </w:r>
      <w:r>
        <w:rPr>
          <w:rStyle w:val="Hyperlink"/>
        </w:rPr>
        <w:t>register.jasanz.org/codemark‑register</w:t>
      </w:r>
      <w:r>
        <w:fldChar w:fldCharType="end"/>
      </w:r>
      <w:r>
        <w:rPr/>
        <w:t xml:space="preserve"> for the CodeMark Register of Certificates of Conformity.</w:t>
      </w:r>
    </w:p>
    <w:bookmarkEnd w:id="160"/>
    <w:bookmarkEnd w:id="159"/>
    <w:bookmarkEnd w:id="157"/>
    <w:bookmarkStart w:name="f-10697-10697.4" w:id="161"/>
    <w:p>
      <w:pPr>
        <w:pStyle w:val="Heading4"/>
      </w:pPr>
      <w:bookmarkStart w:name="h-10697-10697.4" w:id="162"/>
      <w:r>
        <w:rPr/>
        <w:t xml:space="preserve">ASKIN® XFLAM panel insulation core</w:t>
      </w:r>
      <w:bookmarkEnd w:id="162"/>
    </w:p>
    <w:p>
      <w:pPr>
        <w:pStyle w:val="Body Text"/>
      </w:pPr>
      <w:r>
        <w:rPr/>
        <w:t xml:space="preserve">Material: Syntactic foam sheet with Factory Mutual certification to FM 4471 (2010), FM 4880 (2017), FM 4881 (2016) and FM 4882 (2021).</w:t>
      </w:r>
    </w:p>
    <w:p>
      <w:pPr>
        <w:pStyle w:val="Instructions"/>
      </w:pPr>
      <w:r>
        <w:rPr/>
        <w:t xml:space="preserve">Factory Mutual Installation Panel Approval (FM 4880 (2017), FM 4881 (2016) and FM 4882 (2021)): FM Approvals offers worldwide certification and testing services of industrial and commercial loss prevention products. Recognised and respected across the globe, FM Approvals certification assures customers that a product or service has been objectively tested and conforms to the highest national and international standards.</w:t>
      </w:r>
    </w:p>
    <w:p>
      <w:pPr>
        <w:pStyle w:val="Instructions"/>
      </w:pPr>
      <w:r>
        <w:rPr/>
        <w:t xml:space="preserve">ASKIN</w:t>
      </w:r>
      <w:r>
        <w:rPr>
          <w:vertAlign w:val="superscript"/>
        </w:rPr>
        <w:t xml:space="preserve">®</w:t>
      </w:r>
      <w:r>
        <w:rPr/>
        <w:t xml:space="preserve"> XFLAM is a market leading, insurer endorsed, innovative product. It is a syntactic foam with excellent mechanical properties, superior insulation values, low toxicity and is completely recyclable. ASKIN</w:t>
      </w:r>
      <w:r>
        <w:rPr>
          <w:vertAlign w:val="superscript"/>
        </w:rPr>
        <w:t xml:space="preserve">®</w:t>
      </w:r>
      <w:r>
        <w:rPr/>
        <w:t xml:space="preserve"> XFLAM achieves a high insulation rating to easily achieve BCA (2025) Section J compliance (R‑Values of 1.5 to 8.10 m²K/W). The high insulation value reduces the energy costs required for maintaining a comfortable and efficient environment within the building. ASKIN</w:t>
      </w:r>
      <w:r>
        <w:rPr>
          <w:vertAlign w:val="superscript"/>
        </w:rPr>
        <w:t xml:space="preserve">®</w:t>
      </w:r>
      <w:r>
        <w:rPr/>
        <w:t xml:space="preserve"> XFLAM performance panels were the first in Australasia to achieve FM accreditation in the relevant certifications for Insulated Panel Systems – FM 4471 (2010), FM 4880 (2017), FM 4881 (2016) and FM 4882 (2021). These Approvals cover full scale fire, severe hail, and hurricane conditions.</w:t>
      </w:r>
    </w:p>
    <w:bookmarkEnd w:id="161"/>
    <w:bookmarkStart w:name="f-10697-18" w:id="163"/>
    <w:p>
      <w:pPr>
        <w:pStyle w:val="Heading4"/>
      </w:pPr>
      <w:bookmarkStart w:name="h-10697-18" w:id="164"/>
      <w:r>
        <w:rPr/>
        <w:t xml:space="preserve">Internal and external skins</w:t>
      </w:r>
      <w:bookmarkEnd w:id="164"/>
    </w:p>
    <w:p>
      <w:pPr>
        <w:pStyle w:val="Instructions"/>
      </w:pPr>
      <w:r>
        <w:rPr/>
        <w:t xml:space="preserve">Document requirements in the </w:t>
      </w:r>
      <w:r>
        <w:rPr>
          <w:b/>
        </w:rPr>
        <w:t xml:space="preserve">Cool room schedule</w:t>
      </w:r>
      <w:r>
        <w:rPr/>
        <w:t xml:space="preserve">. If there is only one type, delete alternatives.</w:t>
      </w:r>
    </w:p>
    <w:p>
      <w:pPr>
        <w:pStyle w:val="Body Text"/>
      </w:pPr>
      <w:r>
        <w:rPr/>
        <w:t xml:space="preserve">Skin material and thickness: As documented.</w:t>
      </w:r>
    </w:p>
    <w:p>
      <w:pPr>
        <w:pStyle w:val="Instructions"/>
      </w:pPr>
      <w:r>
        <w:rPr/>
        <w:t xml:space="preserve">The standard skin material is 0.5 mm Z275 colour coated steel. AM100, AZ150, PVDF or HPS200 are available for some applications. All Colorbond</w:t>
      </w:r>
      <w:r>
        <w:rPr>
          <w:vertAlign w:val="superscript"/>
        </w:rPr>
        <w:t xml:space="preserve">®</w:t>
      </w:r>
      <w:r>
        <w:rPr/>
        <w:t xml:space="preserve"> colours are available. The available skin thicknesses are 0.4, 0.5, or 0.6 mm depending on requirements for structural performance, and fire resistance (minimum 0.5 mm external).</w:t>
      </w:r>
    </w:p>
    <w:p>
      <w:pPr>
        <w:pStyle w:val="Body Text"/>
      </w:pPr>
      <w:r>
        <w:rPr/>
        <w:t xml:space="preserve">Factory precoating: Polyester to a dry film thickness of 25 µm.</w:t>
      </w:r>
    </w:p>
    <w:p>
      <w:pPr>
        <w:pStyle w:val="Instructions"/>
      </w:pPr>
      <w:r>
        <w:rPr/>
        <w:t xml:space="preserve">Colorbond</w:t>
      </w:r>
      <w:r>
        <w:rPr>
          <w:vertAlign w:val="superscript"/>
        </w:rPr>
        <w:t xml:space="preserve">®</w:t>
      </w:r>
      <w:r>
        <w:rPr/>
        <w:t xml:space="preserve"> Intramax</w:t>
      </w:r>
      <w:r>
        <w:rPr>
          <w:vertAlign w:val="superscript"/>
        </w:rPr>
        <w:t xml:space="preserve">TM</w:t>
      </w:r>
      <w:r>
        <w:rPr/>
        <w:t xml:space="preserve"> (antibacterial) Off‑white is standard.</w:t>
      </w:r>
    </w:p>
    <w:p>
      <w:pPr>
        <w:pStyle w:val="Body Text"/>
      </w:pPr>
      <w:r>
        <w:rPr/>
        <w:t xml:space="preserve">Finish: As documented.</w:t>
      </w:r>
    </w:p>
    <w:bookmarkEnd w:id="163"/>
    <w:bookmarkStart w:name="f-10697-19" w:id="165"/>
    <w:p>
      <w:pPr>
        <w:pStyle w:val="Heading4"/>
      </w:pPr>
      <w:bookmarkStart w:name="h-10697-19" w:id="166"/>
      <w:r>
        <w:rPr/>
        <w:t xml:space="preserve">Dimensions</w:t>
      </w:r>
      <w:bookmarkEnd w:id="166"/>
    </w:p>
    <w:p>
      <w:pPr>
        <w:pStyle w:val="Body Text"/>
      </w:pPr>
      <w:r>
        <w:rPr/>
        <w:t xml:space="preserve">Panel thickness: As documented or to achieve the documented insulation R‑Value.</w:t>
      </w:r>
    </w:p>
    <w:p>
      <w:pPr>
        <w:pStyle w:val="Instructions"/>
      </w:pPr>
      <w:r>
        <w:rPr/>
        <w:t xml:space="preserve">This may be documented in the </w:t>
      </w:r>
      <w:r>
        <w:rPr>
          <w:b/>
        </w:rPr>
        <w:t xml:space="preserve">Cool room schedule</w:t>
      </w:r>
      <w:r>
        <w:rPr/>
        <w:t xml:space="preserve">.</w:t>
      </w:r>
    </w:p>
    <w:p>
      <w:pPr>
        <w:pStyle w:val="Body Text"/>
      </w:pPr>
      <w:r>
        <w:rPr/>
        <w:t xml:space="preserve">Walls between cool rooms: Same insulation material and R‑Value as the walls of the lower temperature room.</w:t>
      </w:r>
    </w:p>
    <w:p>
      <w:pPr>
        <w:pStyle w:val="Body Text"/>
      </w:pPr>
      <w:r>
        <w:rPr/>
        <w:t xml:space="preserve">Panel width:</w:t>
      </w:r>
    </w:p>
    <w:p>
      <w:pPr>
        <w:pStyle w:val="NormalIndent"/>
      </w:pPr>
      <w:r>
        <w:rPr/>
        <w:t xml:space="preserve">Standard module width: 1200 mm.</w:t>
      </w:r>
    </w:p>
    <w:p>
      <w:pPr>
        <w:pStyle w:val="Instructions"/>
      </w:pPr>
      <w:r>
        <w:rPr/>
        <w:t xml:space="preserve">Other widths are also available, such as 1000 mm and 1500 mm. The width should be chosen to minimise joints.</w:t>
      </w:r>
    </w:p>
    <w:p>
      <w:pPr>
        <w:pStyle w:val="NormalIndent"/>
      </w:pPr>
      <w:r>
        <w:rPr/>
        <w:t xml:space="preserve">Minimum width: 600 mm.</w:t>
      </w:r>
    </w:p>
    <w:bookmarkEnd w:id="165"/>
    <w:bookmarkStart w:name="f-10697-20" w:id="167"/>
    <w:p>
      <w:pPr>
        <w:pStyle w:val="Heading4"/>
      </w:pPr>
      <w:bookmarkStart w:name="h-10697-20" w:id="168"/>
      <w:r>
        <w:rPr/>
        <w:t xml:space="preserve">Ceiling panels</w:t>
      </w:r>
      <w:bookmarkEnd w:id="168"/>
    </w:p>
    <w:p>
      <w:pPr>
        <w:pStyle w:val="Body Text"/>
      </w:pPr>
      <w:r>
        <w:rPr/>
        <w:t xml:space="preserve">Thickness: To achieve the documented insulation performance except if the ceiling is trafficable or serves a structural function and greater thickness or different construction is required.</w:t>
      </w:r>
    </w:p>
    <w:p>
      <w:pPr>
        <w:pStyle w:val="Body Text"/>
      </w:pPr>
      <w:r>
        <w:rPr/>
        <w:t xml:space="preserve">Structural and trafficable ceilings: If the ceiling is trafficable or serves a structural function, provide professional engineer's certification that the thickness and construction is adequate for the imposed loads and meets statutory requirements.</w:t>
      </w:r>
    </w:p>
    <w:p>
      <w:pPr>
        <w:pStyle w:val="Instructions"/>
      </w:pPr>
      <w:r>
        <w:rPr/>
        <w:t xml:space="preserve">Professional engineer is defined in </w:t>
      </w:r>
      <w:r>
        <w:rPr>
          <w:i/>
        </w:rPr>
        <w:t xml:space="preserve">0171 General requirements</w:t>
      </w:r>
      <w:r>
        <w:rPr/>
        <w:t xml:space="preserve"> as having the same meaning as the term in the NCC.</w:t>
      </w:r>
    </w:p>
    <w:p>
      <w:pPr>
        <w:pStyle w:val="Instructions"/>
      </w:pPr>
      <w:r>
        <w:rPr/>
        <w:t xml:space="preserve">Ceiling panels can be used for maintenance loads. Contact your ASKIN representative for details.</w:t>
      </w:r>
    </w:p>
    <w:bookmarkEnd w:id="167"/>
    <w:bookmarkStart w:name="f-10697-21" w:id="169"/>
    <w:p>
      <w:pPr>
        <w:pStyle w:val="Heading3"/>
      </w:pPr>
      <w:bookmarkStart w:name="h-10697-21" w:id="170"/>
      <w:r>
        <w:rPr/>
        <w:t xml:space="preserve">DOORS</w:t>
      </w:r>
      <w:bookmarkEnd w:id="170"/>
    </w:p>
    <w:bookmarkEnd w:id="169"/>
    <w:bookmarkStart w:name="f-10697-10697.5" w:id="171"/>
    <w:p>
      <w:pPr>
        <w:pStyle w:val="Heading4"/>
      </w:pPr>
      <w:bookmarkStart w:name="h-10697-10697.5" w:id="172"/>
      <w:r>
        <w:rPr/>
        <w:t xml:space="preserve">Door type</w:t>
      </w:r>
      <w:bookmarkEnd w:id="172"/>
    </w:p>
    <w:p>
      <w:pPr>
        <w:pStyle w:val="Body Text"/>
      </w:pPr>
      <w:r>
        <w:rPr/>
        <w:t xml:space="preserve">Requirement: Provide ASKIN</w:t>
      </w:r>
      <w:r>
        <w:rPr>
          <w:vertAlign w:val="superscript"/>
        </w:rPr>
        <w:t xml:space="preserve">®</w:t>
      </w:r>
      <w:r>
        <w:rPr/>
        <w:t xml:space="preserve"> swing or sliding doors, as documented.</w:t>
      </w:r>
    </w:p>
    <w:p>
      <w:pPr>
        <w:pStyle w:val="Instructions"/>
      </w:pPr>
      <w:r>
        <w:rPr/>
        <w:t xml:space="preserve">Document in the </w:t>
      </w:r>
      <w:r>
        <w:rPr>
          <w:b/>
        </w:rPr>
        <w:t xml:space="preserve">Cool room schedule</w:t>
      </w:r>
      <w:r>
        <w:rPr/>
        <w:t xml:space="preserve"> or on the drawings. If there is only one type, delete alternatives.</w:t>
      </w:r>
    </w:p>
    <w:bookmarkEnd w:id="171"/>
    <w:bookmarkStart w:name="f-10697-22" w:id="173"/>
    <w:p>
      <w:pPr>
        <w:pStyle w:val="Heading4"/>
      </w:pPr>
      <w:bookmarkStart w:name="h-10697-22" w:id="174"/>
      <w:r>
        <w:rPr/>
        <w:t xml:space="preserve">Door assembly</w:t>
      </w:r>
      <w:bookmarkEnd w:id="174"/>
    </w:p>
    <w:p>
      <w:pPr>
        <w:pStyle w:val="Body Text"/>
      </w:pPr>
      <w:r>
        <w:rPr/>
        <w:t xml:space="preserve">Type: Sliding or hinged panels as documented that close against a door frame. Provide all necessary door hardware, gaskets and accessories to form a complete installation.</w:t>
      </w:r>
    </w:p>
    <w:p>
      <w:pPr>
        <w:pStyle w:val="Body Text"/>
      </w:pPr>
      <w:r>
        <w:rPr/>
        <w:t xml:space="preserve">Escape provisions: Provide access doors openable from both the inside and outside. If the door is electrically or pneumatically operated, provide a means for opening the door manually.</w:t>
      </w:r>
    </w:p>
    <w:p>
      <w:pPr>
        <w:pStyle w:val="Body Text"/>
      </w:pPr>
      <w:r>
        <w:rPr/>
        <w:t xml:space="preserve">Back‑up escape provisions: Provide at least one of the following:</w:t>
      </w:r>
    </w:p>
    <w:p>
      <w:pPr>
        <w:pStyle w:val="NormalIndent"/>
      </w:pPr>
      <w:r>
        <w:rPr/>
        <w:t xml:space="preserve">A telephone in every room.</w:t>
      </w:r>
    </w:p>
    <w:p>
      <w:pPr>
        <w:pStyle w:val="NormalIndent"/>
      </w:pPr>
      <w:r>
        <w:rPr/>
        <w:t xml:space="preserve">Unlocked insulated safety exit door that can only be opened from the inside.</w:t>
      </w:r>
    </w:p>
    <w:p>
      <w:pPr>
        <w:pStyle w:val="NormalIndent"/>
      </w:pPr>
      <w:r>
        <w:rPr/>
        <w:t xml:space="preserve">A door to </w:t>
      </w:r>
      <w:r>
        <w:rPr>
          <w:b/>
        </w:rPr>
        <w:t xml:space="preserve">EMERGENCY ACCESS DOORS</w:t>
      </w:r>
      <w:r>
        <w:rPr/>
        <w:t xml:space="preserve">.</w:t>
      </w:r>
    </w:p>
    <w:p>
      <w:pPr>
        <w:pStyle w:val="NormalIndent"/>
      </w:pPr>
      <w:r>
        <w:rPr/>
        <w:t xml:space="preserve">A panel removable from the door or adjacent wall from the inside of the room making an opening large enough for a person to pass through.</w:t>
      </w:r>
    </w:p>
    <w:p>
      <w:pPr>
        <w:pStyle w:val="Body Text"/>
      </w:pPr>
      <w:r>
        <w:rPr/>
        <w:t xml:space="preserve">Thermal performance: Provide doors and door sets that, when closed, have thermal insulation properties equal to those of the wall in which they are located.</w:t>
      </w:r>
    </w:p>
    <w:p>
      <w:pPr>
        <w:pStyle w:val="Body Text"/>
      </w:pPr>
      <w:r>
        <w:rPr/>
        <w:t xml:space="preserve">Seal: Provide face sealing doors.</w:t>
      </w:r>
    </w:p>
    <w:p>
      <w:pPr>
        <w:pStyle w:val="Body Text"/>
      </w:pPr>
      <w:r>
        <w:rPr/>
        <w:t xml:space="preserve">Sill‑less doors: If the door has no sill, provide Fermod 473 adjustable camrise hinges to elevate the door clear of the floor surface during opening and closing.</w:t>
      </w:r>
    </w:p>
    <w:bookmarkEnd w:id="173"/>
    <w:bookmarkStart w:name="f-10697-23" w:id="175"/>
    <w:p>
      <w:pPr>
        <w:pStyle w:val="Heading4"/>
      </w:pPr>
      <w:bookmarkStart w:name="h-10697-23" w:id="176"/>
      <w:r>
        <w:rPr/>
        <w:t xml:space="preserve">Door panel</w:t>
      </w:r>
      <w:bookmarkEnd w:id="176"/>
    </w:p>
    <w:p>
      <w:pPr>
        <w:pStyle w:val="Body Text"/>
      </w:pPr>
      <w:r>
        <w:rPr/>
        <w:t xml:space="preserve">Construction: Provide the following:</w:t>
      </w:r>
    </w:p>
    <w:p>
      <w:pPr>
        <w:pStyle w:val="NormalIndent"/>
      </w:pPr>
      <w:r>
        <w:rPr/>
        <w:t xml:space="preserve">Swing doors: ASKIN® wedge style with fully integrated thermally broken aluminium frame and the following requirements: </w:t>
      </w:r>
    </w:p>
    <w:p>
      <w:pPr>
        <w:pStyle w:val="NormalIndent2"/>
      </w:pPr>
      <w:r>
        <w:rPr/>
        <w:t xml:space="preserve">Hardware: Fermod 431 key lockable latches with matching Fermod 473 adjustable camrise hinges.</w:t>
      </w:r>
    </w:p>
    <w:p>
      <w:pPr>
        <w:pStyle w:val="NormalIndent2"/>
      </w:pPr>
      <w:r>
        <w:rPr/>
        <w:t xml:space="preserve">Latch: Push safety release from the inside of the room.</w:t>
      </w:r>
    </w:p>
    <w:p>
      <w:pPr>
        <w:pStyle w:val="NormalIndent"/>
      </w:pPr>
      <w:r>
        <w:rPr/>
        <w:t xml:space="preserve">Sliding doors: ASKIN® heavy duty type. Conform to the following: </w:t>
      </w:r>
    </w:p>
    <w:p>
      <w:pPr>
        <w:pStyle w:val="NormalIndent2"/>
      </w:pPr>
      <w:r>
        <w:rPr/>
        <w:t xml:space="preserve">Rounded edge style, powder coat finished aluminium frames.</w:t>
      </w:r>
    </w:p>
    <w:p>
      <w:pPr>
        <w:pStyle w:val="NormalIndent2"/>
      </w:pPr>
      <w:r>
        <w:rPr/>
        <w:t xml:space="preserve">SV3 packer thermal break.</w:t>
      </w:r>
    </w:p>
    <w:p>
      <w:pPr>
        <w:pStyle w:val="NormalIndent2"/>
      </w:pPr>
      <w:r>
        <w:rPr/>
        <w:t xml:space="preserve">Heavy duty G track.</w:t>
      </w:r>
    </w:p>
    <w:p>
      <w:pPr>
        <w:pStyle w:val="NormalIndent2"/>
      </w:pPr>
      <w:r>
        <w:rPr/>
        <w:t xml:space="preserve">75 mm OD nylon wheels.</w:t>
      </w:r>
    </w:p>
    <w:p>
      <w:pPr>
        <w:pStyle w:val="NormalIndent2"/>
      </w:pPr>
      <w:r>
        <w:rPr/>
        <w:t xml:space="preserve">Matching cone/locator, stops and door guide system.</w:t>
      </w:r>
    </w:p>
    <w:p>
      <w:pPr>
        <w:pStyle w:val="Body Text"/>
      </w:pPr>
      <w:r>
        <w:rPr/>
        <w:t xml:space="preserve">Dimension: 2100 mm clear opening height, width as documented.</w:t>
      </w:r>
    </w:p>
    <w:p>
      <w:pPr>
        <w:pStyle w:val="Body Text"/>
      </w:pPr>
      <w:r>
        <w:rPr/>
        <w:t xml:space="preserve">Insulation: Conform to </w:t>
      </w:r>
      <w:r>
        <w:rPr>
          <w:b/>
        </w:rPr>
        <w:t xml:space="preserve">ASKIN® XFLAM PERFORMANCE PANELS</w:t>
      </w:r>
      <w:r>
        <w:rPr/>
        <w:t xml:space="preserve">.</w:t>
      </w:r>
    </w:p>
    <w:p>
      <w:pPr>
        <w:pStyle w:val="Body Text"/>
      </w:pPr>
      <w:r>
        <w:rPr/>
        <w:t xml:space="preserve">Edging: Form door edging from a heavy gauge aluminium extrusion with double web seal to both skins. Mitre corner and firmly secure to panel with stainless steel countersunk head screws or countersunk 4.0 mm rivets.</w:t>
      </w:r>
    </w:p>
    <w:bookmarkEnd w:id="175"/>
    <w:bookmarkStart w:name="f-10697-24" w:id="177"/>
    <w:p>
      <w:pPr>
        <w:pStyle w:val="Heading4"/>
      </w:pPr>
      <w:bookmarkStart w:name="h-10697-24" w:id="178"/>
      <w:r>
        <w:rPr/>
        <w:t xml:space="preserve">Viewing panel</w:t>
      </w:r>
      <w:bookmarkEnd w:id="178"/>
    </w:p>
    <w:p>
      <w:pPr>
        <w:pStyle w:val="Body Text"/>
      </w:pPr>
      <w:r>
        <w:rPr/>
        <w:t xml:space="preserve">Type: Triple glazed, vacuum insulated with thermally broken aluminium frame.</w:t>
      </w:r>
    </w:p>
    <w:p>
      <w:pPr>
        <w:pStyle w:val="Body Text"/>
      </w:pPr>
      <w:r>
        <w:rPr/>
        <w:t xml:space="preserve">External panes: Toughened safety glass to AS/NZS 2208 (2023).</w:t>
      </w:r>
    </w:p>
    <w:p>
      <w:pPr>
        <w:pStyle w:val="Body Text"/>
      </w:pPr>
      <w:r>
        <w:rPr/>
        <w:t xml:space="preserve">Size and location: As documented.</w:t>
      </w:r>
    </w:p>
    <w:p>
      <w:pPr>
        <w:pStyle w:val="Instructions"/>
      </w:pPr>
      <w:r>
        <w:rPr/>
        <w:t xml:space="preserve">Include in the </w:t>
      </w:r>
      <w:r>
        <w:rPr>
          <w:b/>
        </w:rPr>
        <w:t xml:space="preserve">Cool room schedule</w:t>
      </w:r>
      <w:r>
        <w:rPr/>
        <w:t xml:space="preserve"> or on the drawings.</w:t>
      </w:r>
    </w:p>
    <w:p>
      <w:pPr>
        <w:pStyle w:val="Body Text"/>
      </w:pPr>
      <w:r>
        <w:rPr/>
        <w:t xml:space="preserve">Finish: Powder coated frame to match the door finish.</w:t>
      </w:r>
    </w:p>
    <w:bookmarkEnd w:id="177"/>
    <w:bookmarkStart w:name="f-10697-25" w:id="179"/>
    <w:p>
      <w:pPr>
        <w:pStyle w:val="Heading4"/>
      </w:pPr>
      <w:bookmarkStart w:name="h-10697-25" w:id="180"/>
      <w:r>
        <w:rPr/>
        <w:t xml:space="preserve">Anti‑condensation heater cables</w:t>
      </w:r>
      <w:bookmarkEnd w:id="180"/>
    </w:p>
    <w:p>
      <w:pPr>
        <w:pStyle w:val="Body Text"/>
      </w:pPr>
      <w:r>
        <w:rPr/>
        <w:t xml:space="preserve">Heater cables: Incorporate a thermal break and dual heater cables (1 operational and 1 spare) to prevent condensation on outside face of door and cold bridging of the door. Locate heater cables at door seals.</w:t>
      </w:r>
    </w:p>
    <w:p>
      <w:pPr>
        <w:pStyle w:val="Body Text"/>
      </w:pPr>
      <w:r>
        <w:rPr/>
        <w:t xml:space="preserve">Type: 230 V self‑temperature regulating heater cable terminating in coiled tails. Provide earth leakage protection.</w:t>
      </w:r>
    </w:p>
    <w:p>
      <w:pPr>
        <w:pStyle w:val="Body Text"/>
      </w:pPr>
      <w:r>
        <w:rPr/>
        <w:t xml:space="preserve">Installation: Install heater cables, accessible for replacement, in the door frame and threshold.</w:t>
      </w:r>
    </w:p>
    <w:p>
      <w:pPr>
        <w:pStyle w:val="Body Text"/>
      </w:pPr>
      <w:r>
        <w:rPr/>
        <w:t xml:space="preserve">Heater cable section below doors: Locate heater cables as follows:</w:t>
      </w:r>
    </w:p>
    <w:p>
      <w:pPr>
        <w:pStyle w:val="NormalIndent"/>
      </w:pPr>
      <w:r>
        <w:rPr/>
        <w:t xml:space="preserve">Cool room door threshold flush with external floor: Locate heater cable in a channel formed in the external floor between two 25 x 25 x 3 mm aluminium angles recessed into the floor. Provide polyurethane packing below the heater cable and removable silicone seal above it.</w:t>
      </w:r>
    </w:p>
    <w:p>
      <w:pPr>
        <w:pStyle w:val="NormalIndent"/>
      </w:pPr>
      <w:r>
        <w:rPr/>
        <w:t xml:space="preserve">Cool room door threshold higher than the external floor: Locate heater cable in a removable section on the external face of the cool room, below the door threshold. Fix section with countersunk stainless steel screws.</w:t>
      </w:r>
    </w:p>
    <w:bookmarkEnd w:id="179"/>
    <w:bookmarkStart w:name="f-10697-26" w:id="181"/>
    <w:p>
      <w:pPr>
        <w:pStyle w:val="Heading4"/>
      </w:pPr>
      <w:bookmarkStart w:name="h-10697-26" w:id="182"/>
      <w:r>
        <w:rPr/>
        <w:t xml:space="preserve">Door frame</w:t>
      </w:r>
      <w:bookmarkEnd w:id="182"/>
    </w:p>
    <w:p>
      <w:pPr>
        <w:pStyle w:val="Body Text"/>
      </w:pPr>
      <w:r>
        <w:rPr/>
        <w:t xml:space="preserve">Construction: Fabricate frames from ASKIN® split frame with 80 x 20 mm aluminium architrave and 6 mm thick PVC threshold. Mitre corners and fix frame firmly to the inner and outer wall skins. Maintain the vapour seal of the wall panel. Make suitable provision for fixing the documented hardware.</w:t>
      </w:r>
    </w:p>
    <w:bookmarkEnd w:id="181"/>
    <w:bookmarkStart w:name="f-10697-27" w:id="183"/>
    <w:p>
      <w:pPr>
        <w:pStyle w:val="Heading4"/>
      </w:pPr>
      <w:bookmarkStart w:name="h-10697-27" w:id="184"/>
      <w:r>
        <w:rPr/>
        <w:t xml:space="preserve">Threshold</w:t>
      </w:r>
      <w:bookmarkEnd w:id="184"/>
    </w:p>
    <w:p>
      <w:pPr>
        <w:pStyle w:val="Body Text"/>
      </w:pPr>
      <w:r>
        <w:rPr/>
        <w:t xml:space="preserve">Construction: Aluminium chequer plate 200 mm wide x 2.5 mm thick. Fix to the floor across the full width of the door opening.</w:t>
      </w:r>
    </w:p>
    <w:bookmarkEnd w:id="183"/>
    <w:bookmarkStart w:name="f-10697-28" w:id="185"/>
    <w:p>
      <w:pPr>
        <w:pStyle w:val="Heading4"/>
      </w:pPr>
      <w:bookmarkStart w:name="h-10697-28" w:id="186"/>
      <w:r>
        <w:rPr/>
        <w:t xml:space="preserve">Gaskets</w:t>
      </w:r>
      <w:bookmarkEnd w:id="186"/>
    </w:p>
    <w:p>
      <w:pPr>
        <w:pStyle w:val="Body Text"/>
      </w:pPr>
      <w:r>
        <w:rPr/>
        <w:t xml:space="preserve">Construction: Provide welded, easily removable, one piece type neoprene door gaskets that are resistant to the effects of food acids, fats and oils. Fit in place with sealant and stainless steel screws.</w:t>
      </w:r>
    </w:p>
    <w:bookmarkEnd w:id="185"/>
    <w:bookmarkStart w:name="f-10697-29" w:id="187"/>
    <w:p>
      <w:pPr>
        <w:pStyle w:val="Heading4"/>
      </w:pPr>
      <w:bookmarkStart w:name="h-10697-29" w:id="188"/>
      <w:r>
        <w:rPr/>
        <w:t xml:space="preserve">Door protection</w:t>
      </w:r>
      <w:bookmarkEnd w:id="188"/>
    </w:p>
    <w:p>
      <w:pPr>
        <w:pStyle w:val="Body Text"/>
      </w:pPr>
      <w:r>
        <w:rPr/>
        <w:t xml:space="preserve">Requirement: If door protection is documented, provide 2.5 mm thick aluminium chequer plate, the width of the door, to both sides of the door and to a height of 1200 mm. Fix with countersunk stainless steel screws.</w:t>
      </w:r>
    </w:p>
    <w:p>
      <w:pPr>
        <w:pStyle w:val="Instructions"/>
      </w:pPr>
      <w:r>
        <w:rPr/>
        <w:t xml:space="preserve">If required, include door protection in the </w:t>
      </w:r>
      <w:r>
        <w:rPr>
          <w:b/>
        </w:rPr>
        <w:t xml:space="preserve">Cool room schedule</w:t>
      </w:r>
      <w:r>
        <w:rPr/>
        <w:t xml:space="preserve"> or show on the drawings.</w:t>
      </w:r>
    </w:p>
    <w:bookmarkEnd w:id="187"/>
    <w:bookmarkStart w:name="f-10697-31" w:id="189"/>
    <w:p>
      <w:pPr>
        <w:pStyle w:val="Heading4"/>
      </w:pPr>
      <w:bookmarkStart w:name="h-10697-31" w:id="190"/>
      <w:r>
        <w:rPr/>
        <w:t xml:space="preserve">Door energy conservation</w:t>
      </w:r>
      <w:bookmarkEnd w:id="190"/>
    </w:p>
    <w:p>
      <w:pPr>
        <w:pStyle w:val="Instructions"/>
      </w:pPr>
      <w:r>
        <w:rPr/>
        <w:t xml:space="preserve">Open doors can significantly affect cool room energy use. AIRAH DA12 (2020) claims that plastic strip curtains, automatic door closers or alarm systems and implementing proper door management through staff training can deliver savings of up to 15% of refrigeration energy.</w:t>
      </w:r>
    </w:p>
    <w:p>
      <w:pPr>
        <w:pStyle w:val="Instructions"/>
      </w:pPr>
      <w:r>
        <w:rPr/>
        <w:t xml:space="preserve">The following may be included individually or in combination by documenting them in the </w:t>
      </w:r>
      <w:r>
        <w:rPr>
          <w:b/>
        </w:rPr>
        <w:t xml:space="preserve">Cool room schedule</w:t>
      </w:r>
      <w:r>
        <w:rPr/>
        <w:t xml:space="preserve">.</w:t>
      </w:r>
    </w:p>
    <w:p>
      <w:pPr>
        <w:pStyle w:val="Body Text"/>
      </w:pPr>
      <w:r>
        <w:rPr/>
        <w:t xml:space="preserve">Plastic strip curtain: Provide heavy duty, clear plastic curtains with overlapping strips, as documented. Install the full width of the door. Minimise gaps at the top, bottom and sides.</w:t>
      </w:r>
    </w:p>
    <w:p>
      <w:pPr>
        <w:pStyle w:val="Body Text"/>
      </w:pPr>
      <w:r>
        <w:rPr/>
        <w:t xml:space="preserve">Automatic door closer: Provide an automatic closer as documented to close the door tight against its seals when not being held open.</w:t>
      </w:r>
    </w:p>
    <w:p>
      <w:pPr>
        <w:pStyle w:val="Body Text"/>
      </w:pPr>
      <w:r>
        <w:rPr/>
        <w:t xml:space="preserve">Door open alarm: Provide an audible alarm as documented to signal when the door has been open for a pre‑set time period.</w:t>
      </w:r>
    </w:p>
    <w:bookmarkEnd w:id="189"/>
    <w:bookmarkStart w:name="f-10697-32" w:id="191"/>
    <w:p>
      <w:pPr>
        <w:pStyle w:val="Heading3"/>
      </w:pPr>
      <w:bookmarkStart w:name="h-10697-32" w:id="192"/>
      <w:r>
        <w:rPr/>
        <w:t xml:space="preserve">EMERGENCY ACCESS DOORS</w:t>
      </w:r>
      <w:bookmarkEnd w:id="192"/>
    </w:p>
    <w:bookmarkEnd w:id="191"/>
    <w:bookmarkStart w:name="f-10697-33" w:id="193"/>
    <w:p>
      <w:pPr>
        <w:pStyle w:val="Heading4"/>
      </w:pPr>
      <w:bookmarkStart w:name="h-10697-33" w:id="194"/>
      <w:r>
        <w:rPr/>
        <w:t xml:space="preserve">General</w:t>
      </w:r>
      <w:bookmarkEnd w:id="194"/>
    </w:p>
    <w:p>
      <w:pPr>
        <w:pStyle w:val="Body Text"/>
      </w:pPr>
      <w:r>
        <w:rPr/>
        <w:t xml:space="preserve">Requirement: Conform to </w:t>
      </w:r>
      <w:r>
        <w:rPr>
          <w:b/>
        </w:rPr>
        <w:t xml:space="preserve">DOORS</w:t>
      </w:r>
      <w:r>
        <w:rPr/>
        <w:t xml:space="preserve"> with the following exception:</w:t>
      </w:r>
    </w:p>
    <w:p>
      <w:pPr>
        <w:pStyle w:val="NormalIndent"/>
      </w:pPr>
      <w:r>
        <w:rPr/>
        <w:t xml:space="preserve">Provide easily accessible internal release mechanisms fitted with luminous identification and instruction plates that do not require power.</w:t>
      </w:r>
    </w:p>
    <w:bookmarkEnd w:id="193"/>
    <w:bookmarkStart w:name="f-10697-34" w:id="195"/>
    <w:p>
      <w:pPr>
        <w:pStyle w:val="Heading3"/>
      </w:pPr>
      <w:bookmarkStart w:name="h-10697-34" w:id="196"/>
      <w:r>
        <w:rPr/>
        <w:t xml:space="preserve">DOOR HARDWARE</w:t>
      </w:r>
      <w:bookmarkEnd w:id="196"/>
    </w:p>
    <w:bookmarkEnd w:id="195"/>
    <w:bookmarkStart w:name="f-10697-35" w:id="197"/>
    <w:p>
      <w:pPr>
        <w:pStyle w:val="Heading4"/>
      </w:pPr>
      <w:bookmarkStart w:name="h-10697-35" w:id="198"/>
      <w:r>
        <w:rPr/>
        <w:t xml:space="preserve">Catches</w:t>
      </w:r>
      <w:bookmarkEnd w:id="198"/>
    </w:p>
    <w:p>
      <w:pPr>
        <w:pStyle w:val="Body Text"/>
      </w:pPr>
      <w:r>
        <w:rPr/>
        <w:t xml:space="preserve">Construction: Provide externally lockable door catches with overriding internal safety release mechanism and internal handles for closing of door.</w:t>
      </w:r>
    </w:p>
    <w:bookmarkEnd w:id="197"/>
    <w:bookmarkStart w:name="f-10697-36" w:id="199"/>
    <w:p>
      <w:pPr>
        <w:pStyle w:val="Heading4"/>
      </w:pPr>
      <w:bookmarkStart w:name="h-10697-36" w:id="200"/>
      <w:r>
        <w:rPr/>
        <w:t xml:space="preserve">Hinges</w:t>
      </w:r>
      <w:bookmarkEnd w:id="200"/>
    </w:p>
    <w:p>
      <w:pPr>
        <w:pStyle w:val="Body Text"/>
      </w:pPr>
      <w:r>
        <w:rPr/>
        <w:t xml:space="preserve">Hinged doors: Hang hinged doors on edge‑mounted, rising butt type, self‑closing hinges capable of holding the door fully open.</w:t>
      </w:r>
    </w:p>
    <w:bookmarkEnd w:id="199"/>
    <w:bookmarkStart w:name="f-10697-37" w:id="201"/>
    <w:p>
      <w:pPr>
        <w:pStyle w:val="Heading4"/>
      </w:pPr>
      <w:bookmarkStart w:name="h-10697-37" w:id="202"/>
      <w:r>
        <w:rPr/>
        <w:t xml:space="preserve">Material</w:t>
      </w:r>
      <w:bookmarkEnd w:id="202"/>
    </w:p>
    <w:p>
      <w:pPr>
        <w:pStyle w:val="Body Text"/>
      </w:pPr>
      <w:r>
        <w:rPr/>
        <w:t xml:space="preserve">Hinges, catches, handles and similar items: Heavy duty brass or gunmetal, chromium‑plated to AS 1192 (2004), service condition number 2, satin finish, for catches, hinges, handles and similar items.</w:t>
      </w:r>
    </w:p>
    <w:bookmarkEnd w:id="201"/>
    <w:bookmarkStart w:name="f-10697-38" w:id="203"/>
    <w:p>
      <w:pPr>
        <w:pStyle w:val="Heading4"/>
      </w:pPr>
      <w:bookmarkStart w:name="h-10697-38" w:id="204"/>
      <w:r>
        <w:rPr/>
        <w:t xml:space="preserve">Sliding track</w:t>
      </w:r>
      <w:bookmarkEnd w:id="204"/>
    </w:p>
    <w:p>
      <w:pPr>
        <w:pStyle w:val="Body Text"/>
      </w:pPr>
      <w:r>
        <w:rPr/>
        <w:t xml:space="preserve">Sliding doors: Hang sliding doors on an overhead sliding track mechanism of capacity suitable to the door, comprising an extruded aluminium track section, top carriages with ball bearing nylon wheels, bottom roller guides and a door height adjustment mechanism. Provide heavy duty rubber stops at both ends of the door travel.</w:t>
      </w:r>
    </w:p>
    <w:bookmarkEnd w:id="203"/>
    <w:bookmarkStart w:name="f-10697-39" w:id="205"/>
    <w:p>
      <w:pPr>
        <w:pStyle w:val="Heading4"/>
      </w:pPr>
      <w:bookmarkStart w:name="h-10697-39" w:id="206"/>
      <w:r>
        <w:rPr/>
        <w:t xml:space="preserve">Installation</w:t>
      </w:r>
      <w:bookmarkEnd w:id="206"/>
    </w:p>
    <w:p>
      <w:pPr>
        <w:pStyle w:val="Body Text"/>
      </w:pPr>
      <w:r>
        <w:rPr/>
        <w:t xml:space="preserve">Fixing: Securely bolt hardware to the door and frame. Minimise cold bridging and formation of condensation on the outside of the cool room.</w:t>
      </w:r>
    </w:p>
    <w:bookmarkEnd w:id="205"/>
    <w:bookmarkStart w:name="f-10697-40" w:id="207"/>
    <w:p>
      <w:pPr>
        <w:pStyle w:val="Heading4"/>
      </w:pPr>
      <w:bookmarkStart w:name="h-10697-40" w:id="208"/>
      <w:r>
        <w:rPr/>
        <w:t xml:space="preserve">Alarm bell</w:t>
      </w:r>
      <w:bookmarkEnd w:id="208"/>
    </w:p>
    <w:p>
      <w:pPr>
        <w:pStyle w:val="Body Text"/>
      </w:pPr>
      <w:r>
        <w:rPr/>
        <w:t xml:space="preserve">Bell: Provide a manually operated bell on the door with the operating mechanism on the inside and the bell on the outside. Recess the operating mechanism so that it is flush with the inside face of the door.</w:t>
      </w:r>
    </w:p>
    <w:bookmarkEnd w:id="207"/>
    <w:bookmarkStart w:name="f-10697-41" w:id="209"/>
    <w:p>
      <w:pPr>
        <w:pStyle w:val="Heading3"/>
      </w:pPr>
      <w:bookmarkStart w:name="h-10697-41" w:id="210"/>
      <w:r>
        <w:rPr/>
        <w:t xml:space="preserve">REFRIGERATION PLANT GENERALLY</w:t>
      </w:r>
      <w:bookmarkEnd w:id="210"/>
    </w:p>
    <w:bookmarkEnd w:id="209"/>
    <w:bookmarkStart w:name="f-10697-42" w:id="211"/>
    <w:p>
      <w:pPr>
        <w:pStyle w:val="Heading4"/>
      </w:pPr>
      <w:bookmarkStart w:name="h-10697-42" w:id="212"/>
      <w:r>
        <w:rPr/>
        <w:t xml:space="preserve">Construction</w:t>
      </w:r>
      <w:bookmarkEnd w:id="212"/>
    </w:p>
    <w:p>
      <w:pPr>
        <w:pStyle w:val="Body Text"/>
      </w:pPr>
      <w:r>
        <w:rPr/>
        <w:t xml:space="preserve">Requirement: Provide one or more complete packaged systems per room consisting of condensing and evaporator units, designed and rated by the manufacturer to operate together.</w:t>
      </w:r>
    </w:p>
    <w:p>
      <w:pPr>
        <w:pStyle w:val="Instructions"/>
      </w:pPr>
      <w:r>
        <w:rPr/>
        <w:t xml:space="preserve">Consider the need for duty‑standby or dual systems rather than a single system per room.</w:t>
      </w:r>
    </w:p>
    <w:bookmarkEnd w:id="211"/>
    <w:bookmarkStart w:name="f-10697-43" w:id="213"/>
    <w:p>
      <w:pPr>
        <w:pStyle w:val="Heading4"/>
      </w:pPr>
      <w:bookmarkStart w:name="h-10697-43" w:id="214"/>
      <w:r>
        <w:rPr/>
        <w:t xml:space="preserve">Refrigeration system types</w:t>
      </w:r>
      <w:bookmarkEnd w:id="214"/>
    </w:p>
    <w:p>
      <w:pPr>
        <w:pStyle w:val="Body Text"/>
      </w:pPr>
      <w:r>
        <w:rPr/>
        <w:t xml:space="preserve">Type: Provide one of the following refrigeration systems types:</w:t>
      </w:r>
    </w:p>
    <w:p>
      <w:pPr>
        <w:pStyle w:val="Instructions"/>
      </w:pPr>
      <w:r>
        <w:rPr/>
        <w:t xml:space="preserve">Include refrigeration system type in the </w:t>
      </w:r>
      <w:r>
        <w:rPr>
          <w:b/>
        </w:rPr>
        <w:t xml:space="preserve">Cool room schedule</w:t>
      </w:r>
      <w:r>
        <w:rPr/>
        <w:t xml:space="preserve"> or on the drawings.</w:t>
      </w:r>
    </w:p>
    <w:p>
      <w:pPr>
        <w:pStyle w:val="NormalIndent"/>
      </w:pPr>
      <w:r>
        <w:rPr/>
        <w:t xml:space="preserve">Split system: Two piece package system with separate evaporator and air‑cooled condensing unit.</w:t>
      </w:r>
    </w:p>
    <w:p>
      <w:pPr>
        <w:pStyle w:val="Instructions"/>
      </w:pPr>
      <w:r>
        <w:rPr/>
        <w:t xml:space="preserve">Preferably show the location of the condensing unit on the drawing.</w:t>
      </w:r>
    </w:p>
    <w:p>
      <w:pPr>
        <w:pStyle w:val="NormalIndent"/>
      </w:pPr>
      <w:r>
        <w:rPr/>
        <w:t xml:space="preserve">Single drop‑in unit: Drop‑in or slide‑in unit, self‑contained one piece factory sealed unit, fully wired and complete with all controls.</w:t>
      </w:r>
    </w:p>
    <w:p>
      <w:pPr>
        <w:pStyle w:val="Body Text"/>
      </w:pPr>
      <w:r>
        <w:rPr/>
        <w:t xml:space="preserve">Selection: Select system components to match the documented capacities and to operate without excessive saturated suction temperature.</w:t>
      </w:r>
    </w:p>
    <w:bookmarkEnd w:id="213"/>
    <w:bookmarkStart w:name="f-10697-44" w:id="215"/>
    <w:p>
      <w:pPr>
        <w:pStyle w:val="Heading4"/>
      </w:pPr>
      <w:bookmarkStart w:name="h-10697-44" w:id="216"/>
      <w:r>
        <w:rPr/>
        <w:t xml:space="preserve">Components</w:t>
      </w:r>
      <w:bookmarkEnd w:id="216"/>
    </w:p>
    <w:p>
      <w:pPr>
        <w:pStyle w:val="Body Text"/>
      </w:pPr>
      <w:r>
        <w:rPr/>
        <w:t xml:space="preserve">Requirement: Provide the following for each system:</w:t>
      </w:r>
    </w:p>
    <w:p>
      <w:pPr>
        <w:pStyle w:val="NormalIndent"/>
      </w:pPr>
      <w:r>
        <w:rPr/>
        <w:t xml:space="preserve">Air‑cooled condensing unit.</w:t>
      </w:r>
    </w:p>
    <w:p>
      <w:pPr>
        <w:pStyle w:val="NormalIndent"/>
      </w:pPr>
      <w:r>
        <w:rPr/>
        <w:t xml:space="preserve">One or more evaporators with fans.</w:t>
      </w:r>
    </w:p>
    <w:p>
      <w:pPr>
        <w:pStyle w:val="NormalIndent"/>
      </w:pPr>
      <w:r>
        <w:rPr/>
        <w:t xml:space="preserve">Automatic controls.</w:t>
      </w:r>
    </w:p>
    <w:p>
      <w:pPr>
        <w:pStyle w:val="NormalIndent"/>
      </w:pPr>
      <w:r>
        <w:rPr/>
        <w:t xml:space="preserve">Capacity control on systems over 30 kWr.</w:t>
      </w:r>
    </w:p>
    <w:p>
      <w:pPr>
        <w:pStyle w:val="NormalIndent"/>
      </w:pPr>
      <w:r>
        <w:rPr/>
        <w:t xml:space="preserve">Manual reset high pressure and auto reset low pressure cutouts.</w:t>
      </w:r>
    </w:p>
    <w:p>
      <w:pPr>
        <w:pStyle w:val="NormalIndent"/>
      </w:pPr>
      <w:r>
        <w:rPr/>
        <w:t xml:space="preserve">High and low side test points.</w:t>
      </w:r>
    </w:p>
    <w:p>
      <w:pPr>
        <w:pStyle w:val="NormalIndent"/>
      </w:pPr>
      <w:r>
        <w:rPr/>
        <w:t xml:space="preserve">Associated refrigerant and drain piping.</w:t>
      </w:r>
    </w:p>
    <w:p>
      <w:pPr>
        <w:pStyle w:val="NormalIndent"/>
      </w:pPr>
      <w:r>
        <w:rPr/>
        <w:t xml:space="preserve">Refrigeration plant power circuits.</w:t>
      </w:r>
    </w:p>
    <w:p>
      <w:pPr>
        <w:pStyle w:val="NormalIndent"/>
      </w:pPr>
      <w:r>
        <w:rPr/>
        <w:t xml:space="preserve">Vibration isolating mountings.</w:t>
      </w:r>
    </w:p>
    <w:p>
      <w:pPr>
        <w:pStyle w:val="NormalIndent"/>
      </w:pPr>
      <w:r>
        <w:rPr/>
        <w:t xml:space="preserve">Pressure relief to AS/NZS 5149.2 (2016).</w:t>
      </w:r>
    </w:p>
    <w:p>
      <w:pPr>
        <w:pStyle w:val="NormalIndent"/>
      </w:pPr>
      <w:r>
        <w:rPr/>
        <w:t xml:space="preserve">Phase failure protection on motors ≥ 5.5 kW.</w:t>
      </w:r>
    </w:p>
    <w:p>
      <w:pPr>
        <w:pStyle w:val="NormalIndent"/>
      </w:pPr>
      <w:r>
        <w:rPr/>
        <w:t xml:space="preserve">Permanent, weatherproof, wiring diagram fixed on or next to the control panel.</w:t>
      </w:r>
    </w:p>
    <w:p>
      <w:pPr>
        <w:pStyle w:val="Body Text"/>
      </w:pPr>
      <w:r>
        <w:rPr/>
        <w:t xml:space="preserve">Split systems: Provide in addition:</w:t>
      </w:r>
    </w:p>
    <w:p>
      <w:pPr>
        <w:pStyle w:val="NormalIndent"/>
      </w:pPr>
      <w:r>
        <w:rPr/>
        <w:t xml:space="preserve">Liquid line solenoid valve.</w:t>
      </w:r>
    </w:p>
    <w:p>
      <w:pPr>
        <w:pStyle w:val="NormalIndent"/>
      </w:pPr>
      <w:r>
        <w:rPr/>
        <w:t xml:space="preserve">Liquid‑suction heat exchanger.</w:t>
      </w:r>
    </w:p>
    <w:p>
      <w:pPr>
        <w:pStyle w:val="NormalIndent"/>
      </w:pPr>
      <w:r>
        <w:rPr/>
        <w:t xml:space="preserve">Thermostatic or electronic expansion valve.</w:t>
      </w:r>
    </w:p>
    <w:p>
      <w:pPr>
        <w:pStyle w:val="Instructions"/>
      </w:pPr>
      <w:r>
        <w:rPr/>
        <w:t xml:space="preserve">Electronic is usually more efficient.</w:t>
      </w:r>
    </w:p>
    <w:p>
      <w:pPr>
        <w:pStyle w:val="NormalIndent"/>
      </w:pPr>
      <w:r>
        <w:rPr/>
        <w:t xml:space="preserve">Compressor service valves.</w:t>
      </w:r>
    </w:p>
    <w:p>
      <w:pPr>
        <w:pStyle w:val="NormalIndent"/>
      </w:pPr>
      <w:r>
        <w:rPr/>
        <w:t xml:space="preserve">Integral positive temperature coefficient type crankcase heaters if required for safe compressor operation. Energise when the compressor is off.</w:t>
      </w:r>
    </w:p>
    <w:p>
      <w:pPr>
        <w:pStyle w:val="NormalIndent"/>
      </w:pPr>
      <w:r>
        <w:rPr/>
        <w:t xml:space="preserve">Schrader type connections for evacuation and refrigerant charging.</w:t>
      </w:r>
    </w:p>
    <w:p>
      <w:pPr>
        <w:pStyle w:val="NormalIndent"/>
      </w:pPr>
      <w:r>
        <w:rPr/>
        <w:t xml:space="preserve">Test valves.</w:t>
      </w:r>
    </w:p>
    <w:p>
      <w:pPr>
        <w:pStyle w:val="NormalIndent"/>
      </w:pPr>
      <w:r>
        <w:rPr/>
        <w:t xml:space="preserve">Liquid receiver with service valves. Size to hold the full refrigerant charge.</w:t>
      </w:r>
    </w:p>
    <w:p>
      <w:pPr>
        <w:pStyle w:val="NormalIndent"/>
      </w:pPr>
      <w:r>
        <w:rPr/>
        <w:t xml:space="preserve">Suction line vibration eliminator.</w:t>
      </w:r>
    </w:p>
    <w:p>
      <w:pPr>
        <w:pStyle w:val="NormalIndent"/>
      </w:pPr>
      <w:r>
        <w:rPr/>
        <w:t xml:space="preserve">Replaceable filter‑dryer.</w:t>
      </w:r>
    </w:p>
    <w:p>
      <w:pPr>
        <w:pStyle w:val="NormalIndent"/>
      </w:pPr>
      <w:r>
        <w:rPr/>
        <w:t xml:space="preserve">Low oil pressure cutout.</w:t>
      </w:r>
    </w:p>
    <w:p>
      <w:pPr>
        <w:pStyle w:val="NormalIndent"/>
      </w:pPr>
      <w:r>
        <w:rPr/>
        <w:t xml:space="preserve">Liquid line sight glass and moisture indicator.</w:t>
      </w:r>
    </w:p>
    <w:p>
      <w:pPr>
        <w:pStyle w:val="NormalIndent"/>
      </w:pPr>
      <w:r>
        <w:rPr/>
        <w:t xml:space="preserve">Cool room temperature ≤ 0°C: Provide also: </w:t>
      </w:r>
    </w:p>
    <w:p>
      <w:pPr>
        <w:pStyle w:val="NormalIndent2"/>
      </w:pPr>
      <w:r>
        <w:rPr/>
        <w:t xml:space="preserve">Crankcase pressure regulator.</w:t>
      </w:r>
    </w:p>
    <w:p>
      <w:pPr>
        <w:pStyle w:val="NormalIndent2"/>
      </w:pPr>
      <w:r>
        <w:rPr/>
        <w:t xml:space="preserve">Liquid line accumulator with liquid heat exchanger.</w:t>
      </w:r>
    </w:p>
    <w:p>
      <w:pPr>
        <w:pStyle w:val="NormalIndent2"/>
      </w:pPr>
      <w:r>
        <w:rPr/>
        <w:t xml:space="preserve">Insulated oil separator.</w:t>
      </w:r>
    </w:p>
    <w:p>
      <w:pPr>
        <w:pStyle w:val="Instructions"/>
      </w:pPr>
      <w:r>
        <w:rPr/>
        <w:t xml:space="preserve">Consider oil return and separator, particularly with long pipe runs.</w:t>
      </w:r>
    </w:p>
    <w:bookmarkEnd w:id="215"/>
    <w:bookmarkStart w:name="f-10697-45" w:id="217"/>
    <w:p>
      <w:pPr>
        <w:pStyle w:val="Heading4"/>
      </w:pPr>
      <w:bookmarkStart w:name="h-10697-45" w:id="218"/>
      <w:r>
        <w:rPr/>
        <w:t xml:space="preserve">Defrosting</w:t>
      </w:r>
      <w:bookmarkEnd w:id="218"/>
    </w:p>
    <w:p>
      <w:pPr>
        <w:pStyle w:val="Body Text"/>
      </w:pPr>
      <w:r>
        <w:rPr/>
        <w:t xml:space="preserve">Room operating temperature ≤ 2°C: Electric defrost.</w:t>
      </w:r>
    </w:p>
    <w:p>
      <w:pPr>
        <w:pStyle w:val="Body Text"/>
      </w:pPr>
      <w:r>
        <w:rPr/>
        <w:t xml:space="preserve">Room operating temperature &gt; 2°C: Natural defrost.</w:t>
      </w:r>
    </w:p>
    <w:bookmarkEnd w:id="217"/>
    <w:bookmarkStart w:name="f-10697-10697.7" w:id="219"/>
    <w:p>
      <w:pPr>
        <w:pStyle w:val="Heading4"/>
      </w:pPr>
      <w:bookmarkStart w:name="h-10697-10697.7" w:id="220"/>
      <w:r>
        <w:rPr/>
        <w:t xml:space="preserve">Tests</w:t>
      </w:r>
      <w:bookmarkEnd w:id="220"/>
    </w:p>
    <w:bookmarkStart w:name="f-22751" w:id="221"/>
    <w:bookmarkStart w:name="f-22751-1" w:id="222"/>
    <w:p>
      <w:pPr>
        <w:pStyle w:val="Instructions"/>
      </w:pPr>
      <w:r>
        <w:rPr>
          <w:i/>
        </w:rPr>
        <w:t xml:space="preserve">0171 General requirements</w:t>
      </w:r>
      <w:r>
        <w:rPr/>
        <w:t xml:space="preserve"> defines different tests in </w:t>
      </w:r>
      <w:r>
        <w:rPr>
          <w:b/>
        </w:rPr>
        <w:t xml:space="preserve">INTERPRETATION</w:t>
      </w:r>
      <w:r>
        <w:rPr/>
        <w:t xml:space="preserve">, </w:t>
      </w:r>
      <w:r>
        <w:rPr>
          <w:b/>
        </w:rPr>
        <w:t xml:space="preserve">Definitions</w:t>
      </w:r>
      <w:r>
        <w:rPr/>
        <w:t xml:space="preserve">.</w:t>
      </w:r>
    </w:p>
    <w:bookmarkEnd w:id="222"/>
    <w:bookmarkEnd w:id="221"/>
    <w:p>
      <w:pPr>
        <w:pStyle w:val="Body Text"/>
      </w:pPr>
      <w:r>
        <w:rPr/>
        <w:t xml:space="preserve">Type tests: Factory type test packaged refrigerating plant for capacity and operating performance to the following:</w:t>
      </w:r>
    </w:p>
    <w:p>
      <w:pPr>
        <w:pStyle w:val="NormalIndent"/>
      </w:pPr>
      <w:r>
        <w:rPr/>
        <w:t xml:space="preserve">Condensing units: To EN 13215 (2016).</w:t>
      </w:r>
    </w:p>
    <w:p>
      <w:pPr>
        <w:pStyle w:val="NormalIndent"/>
      </w:pPr>
      <w:r>
        <w:rPr/>
        <w:t xml:space="preserve">Evaporators: To EN 328 (2014).</w:t>
      </w:r>
    </w:p>
    <w:bookmarkEnd w:id="219"/>
    <w:bookmarkStart w:name="f-10697-46" w:id="223"/>
    <w:p>
      <w:pPr>
        <w:pStyle w:val="Heading3"/>
      </w:pPr>
      <w:bookmarkStart w:name="h-10697-46" w:id="224"/>
      <w:r>
        <w:rPr/>
        <w:t xml:space="preserve">EVAPORATORS</w:t>
      </w:r>
      <w:bookmarkEnd w:id="224"/>
    </w:p>
    <w:bookmarkEnd w:id="223"/>
    <w:bookmarkStart w:name="f-10697-47" w:id="225"/>
    <w:p>
      <w:pPr>
        <w:pStyle w:val="Heading4"/>
      </w:pPr>
      <w:bookmarkStart w:name="h-10697-47" w:id="226"/>
      <w:r>
        <w:rPr/>
        <w:t xml:space="preserve">Description</w:t>
      </w:r>
      <w:bookmarkEnd w:id="226"/>
    </w:p>
    <w:p>
      <w:pPr>
        <w:pStyle w:val="Body Text"/>
      </w:pPr>
      <w:r>
        <w:rPr/>
        <w:t xml:space="preserve">General: Provide low‑silhouette evaporators that include an extended surface aluminium finned copper cooling coil with externally‑mounted externally equalised expansion valve, refrigerant distributors, one or more fans and motors, air outlet baffles, insulated stainless steel or aluminium condensate drain pan and accessories. Locate the expansion valve bulb or sensor to the valve manufacturer's recommendations.</w:t>
      </w:r>
    </w:p>
    <w:p>
      <w:pPr>
        <w:pStyle w:val="Body Text"/>
      </w:pPr>
      <w:r>
        <w:rPr/>
        <w:t xml:space="preserve">Type: Low profile induced draft or forced draft.</w:t>
      </w:r>
    </w:p>
    <w:p>
      <w:pPr>
        <w:pStyle w:val="Body Text"/>
      </w:pPr>
      <w:r>
        <w:rPr/>
        <w:t xml:space="preserve">Casing: Stainless steel or heavy gauge aluminium.</w:t>
      </w:r>
    </w:p>
    <w:bookmarkEnd w:id="225"/>
    <w:bookmarkStart w:name="f-10697-48" w:id="227"/>
    <w:p>
      <w:pPr>
        <w:pStyle w:val="Heading4"/>
      </w:pPr>
      <w:bookmarkStart w:name="h-10697-48" w:id="228"/>
      <w:r>
        <w:rPr/>
        <w:t xml:space="preserve">Coils</w:t>
      </w:r>
      <w:bookmarkEnd w:id="228"/>
    </w:p>
    <w:p>
      <w:pPr>
        <w:pStyle w:val="Body Text"/>
      </w:pPr>
      <w:r>
        <w:rPr/>
        <w:t xml:space="preserve">Fins: ≤ 240 fins/m.</w:t>
      </w:r>
    </w:p>
    <w:p>
      <w:pPr>
        <w:pStyle w:val="Body Text"/>
      </w:pPr>
      <w:r>
        <w:rPr/>
        <w:t xml:space="preserve">Room air to coil temperature difference: ≤ 5 K.</w:t>
      </w:r>
    </w:p>
    <w:p>
      <w:pPr>
        <w:pStyle w:val="Body Text"/>
      </w:pPr>
      <w:r>
        <w:rPr/>
        <w:t xml:space="preserve">Face velocity: ≤ 2.5 m/s.</w:t>
      </w:r>
    </w:p>
    <w:bookmarkEnd w:id="227"/>
    <w:bookmarkStart w:name="f-10697-49" w:id="229"/>
    <w:p>
      <w:pPr>
        <w:pStyle w:val="Heading4"/>
      </w:pPr>
      <w:bookmarkStart w:name="h-10697-49" w:id="230"/>
      <w:r>
        <w:rPr/>
        <w:t xml:space="preserve">Fans</w:t>
      </w:r>
      <w:bookmarkEnd w:id="230"/>
    </w:p>
    <w:p>
      <w:pPr>
        <w:pStyle w:val="Body Text"/>
      </w:pPr>
      <w:r>
        <w:rPr/>
        <w:t xml:space="preserve">Type: Axial flow, aluminium blade, propeller with an IP54 motor, class E insulation and built‑in auto‑resetting overload protection.</w:t>
      </w:r>
    </w:p>
    <w:p>
      <w:pPr>
        <w:pStyle w:val="Body Text"/>
      </w:pPr>
      <w:r>
        <w:rPr/>
        <w:t xml:space="preserve">Noise level in room with all fans operating: ≤ 65 dB(A).</w:t>
      </w:r>
    </w:p>
    <w:p>
      <w:pPr>
        <w:pStyle w:val="Body Text"/>
      </w:pPr>
      <w:r>
        <w:rPr/>
        <w:t xml:space="preserve">Installation: Provide a corrosion‑resistant fan guard and aerodynamic contoured tube housing. Provide easy access to each fan and motor for inspection and maintenance.</w:t>
      </w:r>
    </w:p>
    <w:p>
      <w:pPr>
        <w:pStyle w:val="Body Text"/>
      </w:pPr>
      <w:r>
        <w:rPr/>
        <w:t xml:space="preserve">Air delivery: Direct to the room with a throw of not less than three quarters of the room length.</w:t>
      </w:r>
    </w:p>
    <w:p>
      <w:pPr>
        <w:pStyle w:val="Instructions"/>
      </w:pPr>
      <w:r>
        <w:rPr/>
        <w:t xml:space="preserve">Consider EC fan motors as they are more energy efficient. (High voltage permanent magnet DC with built in AC to DC conversion.)</w:t>
      </w:r>
    </w:p>
    <w:p>
      <w:pPr>
        <w:pStyle w:val="Body Text"/>
      </w:pPr>
      <w:r>
        <w:rPr/>
        <w:t xml:space="preserve">Motors ≥ 0.37 kW: 3‑phase only.</w:t>
      </w:r>
    </w:p>
    <w:bookmarkEnd w:id="229"/>
    <w:bookmarkStart w:name="f-10697-50" w:id="231"/>
    <w:p>
      <w:pPr>
        <w:pStyle w:val="Heading4"/>
      </w:pPr>
      <w:bookmarkStart w:name="h-10697-50" w:id="232"/>
      <w:r>
        <w:rPr/>
        <w:t xml:space="preserve">Heaters</w:t>
      </w:r>
      <w:bookmarkEnd w:id="232"/>
    </w:p>
    <w:p>
      <w:pPr>
        <w:pStyle w:val="Body Text"/>
      </w:pPr>
      <w:r>
        <w:rPr/>
        <w:t xml:space="preserve">Room operating temperature ≤ 2°C: Provide coil defrost heaters and drain pan heaters consisting of totally enclosed sheathed heater elements, in banks designed for separate and easy removal in the case of failure. Provide dual heater circuits.</w:t>
      </w:r>
    </w:p>
    <w:bookmarkEnd w:id="231"/>
    <w:bookmarkStart w:name="f-10697-51" w:id="233"/>
    <w:p>
      <w:pPr>
        <w:pStyle w:val="Heading3"/>
      </w:pPr>
      <w:bookmarkStart w:name="h-10697-51" w:id="234"/>
      <w:r>
        <w:rPr/>
        <w:t xml:space="preserve">CONDENSING UNITS</w:t>
      </w:r>
      <w:bookmarkEnd w:id="234"/>
    </w:p>
    <w:bookmarkEnd w:id="233"/>
    <w:bookmarkStart w:name="f-10697-52" w:id="235"/>
    <w:p>
      <w:pPr>
        <w:pStyle w:val="Heading4"/>
      </w:pPr>
      <w:bookmarkStart w:name="h-10697-52" w:id="236"/>
      <w:r>
        <w:rPr/>
        <w:t xml:space="preserve">Description</w:t>
      </w:r>
      <w:bookmarkEnd w:id="236"/>
    </w:p>
    <w:p>
      <w:pPr>
        <w:pStyle w:val="Body Text"/>
      </w:pPr>
      <w:r>
        <w:rPr/>
        <w:t xml:space="preserve">Type: Provide packaged condensing units comprising liquid receiver, compressor, hot gas line, condenser and accessories. Mount the components on a common grid corrosion protected steel base.</w:t>
      </w:r>
    </w:p>
    <w:p>
      <w:pPr>
        <w:pStyle w:val="Body Text"/>
      </w:pPr>
      <w:r>
        <w:rPr/>
        <w:t xml:space="preserve">Room operating temperature ≤ 0°C: In addition, provide the following:</w:t>
      </w:r>
    </w:p>
    <w:p>
      <w:pPr>
        <w:pStyle w:val="NormalIndent"/>
      </w:pPr>
      <w:r>
        <w:rPr/>
        <w:t xml:space="preserve">Open surge tank suction accumulator.</w:t>
      </w:r>
    </w:p>
    <w:p>
      <w:pPr>
        <w:pStyle w:val="NormalIndent"/>
      </w:pPr>
      <w:r>
        <w:rPr/>
        <w:t xml:space="preserve">Back pressure regulator.</w:t>
      </w:r>
    </w:p>
    <w:p>
      <w:pPr>
        <w:pStyle w:val="NormalIndent"/>
      </w:pPr>
      <w:r>
        <w:rPr/>
        <w:t xml:space="preserve">Oil separator.</w:t>
      </w:r>
    </w:p>
    <w:p>
      <w:pPr>
        <w:pStyle w:val="Instructions"/>
      </w:pPr>
      <w:r>
        <w:rPr/>
        <w:t xml:space="preserve">Consider EC fan motors as they are more energy efficient. (High voltage permanent magnet DC with built in AC to DC conversion.)</w:t>
      </w:r>
    </w:p>
    <w:bookmarkEnd w:id="235"/>
    <w:bookmarkStart w:name="f-10697-53" w:id="237"/>
    <w:p>
      <w:pPr>
        <w:pStyle w:val="Heading4"/>
      </w:pPr>
      <w:bookmarkStart w:name="h-10697-53" w:id="238"/>
      <w:r>
        <w:rPr/>
        <w:t xml:space="preserve">Compressor types</w:t>
      </w:r>
      <w:bookmarkEnd w:id="238"/>
    </w:p>
    <w:p>
      <w:pPr>
        <w:pStyle w:val="Body Text"/>
      </w:pPr>
      <w:r>
        <w:rPr/>
        <w:t xml:space="preserve">Type: Provide compressors as follows:</w:t>
      </w:r>
    </w:p>
    <w:p>
      <w:pPr>
        <w:pStyle w:val="NormalIndent"/>
      </w:pPr>
      <w:r>
        <w:rPr/>
        <w:t xml:space="preserve">Belt drive open compressor.</w:t>
      </w:r>
    </w:p>
    <w:p>
      <w:pPr>
        <w:pStyle w:val="NormalIndent"/>
      </w:pPr>
      <w:r>
        <w:rPr/>
        <w:t xml:space="preserve">Direct drive open compressor.</w:t>
      </w:r>
    </w:p>
    <w:p>
      <w:pPr>
        <w:pStyle w:val="NormalIndent"/>
      </w:pPr>
      <w:r>
        <w:rPr/>
        <w:t xml:space="preserve">Semi‑hermetic compressor.</w:t>
      </w:r>
    </w:p>
    <w:p>
      <w:pPr>
        <w:pStyle w:val="NormalIndent"/>
      </w:pPr>
      <w:r>
        <w:rPr/>
        <w:t xml:space="preserve">Hermetic compressor.</w:t>
      </w:r>
    </w:p>
    <w:p>
      <w:pPr>
        <w:pStyle w:val="Instructions"/>
      </w:pPr>
      <w:r>
        <w:rPr/>
        <w:t xml:space="preserve">Include compressor type in the </w:t>
      </w:r>
      <w:r>
        <w:rPr>
          <w:b/>
        </w:rPr>
        <w:t xml:space="preserve">Cool room schedule</w:t>
      </w:r>
      <w:r>
        <w:rPr/>
        <w:t xml:space="preserve"> or show on the drawings.</w:t>
      </w:r>
    </w:p>
    <w:bookmarkEnd w:id="237"/>
    <w:bookmarkStart w:name="f-10697-10697.8" w:id="239"/>
    <w:p>
      <w:pPr>
        <w:pStyle w:val="Heading4"/>
      </w:pPr>
      <w:bookmarkStart w:name="h-10697-10697.8" w:id="240"/>
      <w:r>
        <w:rPr/>
        <w:t xml:space="preserve">Open compressors</w:t>
      </w:r>
      <w:bookmarkEnd w:id="240"/>
    </w:p>
    <w:p>
      <w:pPr>
        <w:pStyle w:val="Body Text"/>
      </w:pPr>
      <w:r>
        <w:rPr/>
        <w:t xml:space="preserve">Requirement: Provide the following:</w:t>
      </w:r>
    </w:p>
    <w:p>
      <w:pPr>
        <w:pStyle w:val="NormalIndent"/>
      </w:pPr>
      <w:r>
        <w:rPr/>
        <w:t xml:space="preserve">Mounting: Vibration isolating mountings.</w:t>
      </w:r>
    </w:p>
    <w:p>
      <w:pPr>
        <w:pStyle w:val="NormalIndent"/>
      </w:pPr>
      <w:r>
        <w:rPr/>
        <w:t xml:space="preserve">Service valves: Packed and capped, backseating refrigerant suction valve.</w:t>
      </w:r>
    </w:p>
    <w:p>
      <w:pPr>
        <w:pStyle w:val="NormalIndent"/>
      </w:pPr>
      <w:r>
        <w:rPr/>
        <w:t xml:space="preserve">Charging connections: Schrader type connections for evacuation and refrigerant charging.</w:t>
      </w:r>
    </w:p>
    <w:p>
      <w:pPr>
        <w:pStyle w:val="Body Text"/>
      </w:pPr>
      <w:r>
        <w:rPr/>
        <w:t xml:space="preserve">Crankcase heaters: Provide integral positive temperature coefficient type crankcase heaters if required for safe compressor operation.</w:t>
      </w:r>
    </w:p>
    <w:bookmarkEnd w:id="239"/>
    <w:bookmarkStart w:name="f-10697-54" w:id="241"/>
    <w:p>
      <w:pPr>
        <w:pStyle w:val="Heading4"/>
      </w:pPr>
      <w:bookmarkStart w:name="h-10697-54" w:id="242"/>
      <w:r>
        <w:rPr/>
        <w:t xml:space="preserve">Hermetic and semi‑hermetic compressors</w:t>
      </w:r>
      <w:bookmarkEnd w:id="242"/>
    </w:p>
    <w:p>
      <w:pPr>
        <w:pStyle w:val="Body Text"/>
      </w:pPr>
      <w:r>
        <w:rPr/>
        <w:t xml:space="preserve">Enclosure: Welded or accessible hermetic steel enclosure with at least 3 mounting feet. Provide the following:</w:t>
      </w:r>
    </w:p>
    <w:p>
      <w:pPr>
        <w:pStyle w:val="NormalIndent"/>
      </w:pPr>
      <w:r>
        <w:rPr/>
        <w:t xml:space="preserve">Mounting: Vibration isolating mountings.</w:t>
      </w:r>
    </w:p>
    <w:p>
      <w:pPr>
        <w:pStyle w:val="NormalIndent"/>
      </w:pPr>
      <w:r>
        <w:rPr/>
        <w:t xml:space="preserve">Service valves: Packed and capped, backseating refrigerant suction valve.</w:t>
      </w:r>
    </w:p>
    <w:p>
      <w:pPr>
        <w:pStyle w:val="NormalIndent"/>
      </w:pPr>
      <w:r>
        <w:rPr/>
        <w:t xml:space="preserve">Charging connections: Schrader type connections for evacuation and refrigerant charging.</w:t>
      </w:r>
    </w:p>
    <w:p>
      <w:pPr>
        <w:pStyle w:val="Body Text"/>
      </w:pPr>
      <w:r>
        <w:rPr/>
        <w:t xml:space="preserve">Crankcase heaters: Provide integral positive temperature coefficient type crankcase heaters if required for safe compressor operation.</w:t>
      </w:r>
    </w:p>
    <w:p>
      <w:pPr>
        <w:pStyle w:val="Body Text"/>
      </w:pPr>
      <w:r>
        <w:rPr/>
        <w:t xml:space="preserve">Scroll compressors: Provide reverse rotation protection.</w:t>
      </w:r>
    </w:p>
    <w:bookmarkEnd w:id="241"/>
    <w:bookmarkStart w:name="f-10697-55" w:id="243"/>
    <w:p>
      <w:pPr>
        <w:pStyle w:val="Heading4"/>
      </w:pPr>
      <w:bookmarkStart w:name="h-10697-55" w:id="244"/>
      <w:r>
        <w:rPr/>
        <w:t xml:space="preserve">Gauges</w:t>
      </w:r>
      <w:bookmarkEnd w:id="244"/>
    </w:p>
    <w:p>
      <w:pPr>
        <w:pStyle w:val="Body Text"/>
      </w:pPr>
      <w:r>
        <w:rPr/>
        <w:t xml:space="preserve">Requirement: Provide suction and discharge pressure gauges to nominated condensing units.</w:t>
      </w:r>
    </w:p>
    <w:p>
      <w:pPr>
        <w:pStyle w:val="Instructions"/>
      </w:pPr>
      <w:r>
        <w:rPr/>
        <w:t xml:space="preserve">If required, include in the </w:t>
      </w:r>
      <w:r>
        <w:rPr>
          <w:b/>
        </w:rPr>
        <w:t xml:space="preserve">Cool room schedule</w:t>
      </w:r>
      <w:r>
        <w:rPr/>
        <w:t xml:space="preserve"> or show on the drawings.</w:t>
      </w:r>
    </w:p>
    <w:bookmarkEnd w:id="243"/>
    <w:bookmarkStart w:name="f-10697-56" w:id="245"/>
    <w:p>
      <w:pPr>
        <w:pStyle w:val="Heading4"/>
      </w:pPr>
      <w:bookmarkStart w:name="h-10697-56" w:id="246"/>
      <w:r>
        <w:rPr/>
        <w:t xml:space="preserve">Air‑cooled condensers</w:t>
      </w:r>
      <w:bookmarkEnd w:id="246"/>
    </w:p>
    <w:p>
      <w:pPr>
        <w:pStyle w:val="Body Text"/>
      </w:pPr>
      <w:r>
        <w:rPr/>
        <w:t xml:space="preserve">Condenser coils:</w:t>
      </w:r>
    </w:p>
    <w:p>
      <w:pPr>
        <w:pStyle w:val="NormalIndent"/>
      </w:pPr>
      <w:r>
        <w:rPr/>
        <w:t xml:space="preserve">Tubes: Copper to AS 1569 (1998), AS 1571 (2020) or AS 1572 (2023), designation C12200.</w:t>
      </w:r>
    </w:p>
    <w:p>
      <w:pPr>
        <w:pStyle w:val="NormalIndent"/>
      </w:pPr>
      <w:r>
        <w:rPr/>
        <w:t xml:space="preserve">Fins: Aluminium alloy plate fins ≥ 0.12 mm thick to AS 2848.1 (1998), designation 3003 or 8011.</w:t>
      </w:r>
    </w:p>
    <w:p>
      <w:pPr>
        <w:pStyle w:val="NormalIndent"/>
      </w:pPr>
      <w:r>
        <w:rPr/>
        <w:t xml:space="preserve">Fin pitch: ≤ 550 fins/m.</w:t>
      </w:r>
    </w:p>
    <w:p>
      <w:pPr>
        <w:pStyle w:val="NormalIndent"/>
      </w:pPr>
      <w:r>
        <w:rPr/>
        <w:t xml:space="preserve">Subcooling: &gt; 5 K.</w:t>
      </w:r>
    </w:p>
    <w:p>
      <w:pPr>
        <w:pStyle w:val="Instructions"/>
      </w:pPr>
      <w:r>
        <w:rPr/>
        <w:t xml:space="preserve">For some environments, such as those close to the ocean, additional coil treatment may be needed. If so, see </w:t>
      </w:r>
      <w:r>
        <w:rPr>
          <w:b/>
        </w:rPr>
        <w:t xml:space="preserve">ADDITIONAL COIL CORROSION PROTECTION</w:t>
      </w:r>
      <w:r>
        <w:rPr/>
        <w:t xml:space="preserve"> in </w:t>
      </w:r>
      <w:r>
        <w:rPr>
          <w:i/>
        </w:rPr>
        <w:t xml:space="preserve">0733 Air coils</w:t>
      </w:r>
      <w:r>
        <w:rPr/>
        <w:t xml:space="preserve">.</w:t>
      </w:r>
    </w:p>
    <w:p>
      <w:pPr>
        <w:pStyle w:val="Body Text"/>
      </w:pPr>
      <w:r>
        <w:rPr/>
        <w:t xml:space="preserve">Fans: Propeller or axial flow as follows:</w:t>
      </w:r>
    </w:p>
    <w:p>
      <w:pPr>
        <w:pStyle w:val="NormalIndent"/>
      </w:pPr>
      <w:r>
        <w:rPr/>
        <w:t xml:space="preserve">Propeller fan: Direct drive with single thickness fixed pitch aluminium or ultraviolet light protected polypropylene blades.</w:t>
      </w:r>
    </w:p>
    <w:p>
      <w:pPr>
        <w:pStyle w:val="NormalIndent"/>
      </w:pPr>
      <w:r>
        <w:rPr/>
        <w:t xml:space="preserve">Aerofoil axial flow fan: Direct drive with adjustable pitch aerofoil section blades of ultraviolet light protected glass reinforced plastic or polypropylene, or aluminium.</w:t>
      </w:r>
    </w:p>
    <w:p>
      <w:pPr>
        <w:pStyle w:val="Body Text"/>
      </w:pPr>
      <w:r>
        <w:rPr/>
        <w:t xml:space="preserve">Fan motors:</w:t>
      </w:r>
    </w:p>
    <w:p>
      <w:pPr>
        <w:pStyle w:val="NormalIndent"/>
      </w:pPr>
      <w:r>
        <w:rPr/>
        <w:t xml:space="preserve">&gt; 0.37 kW: 3‑phase.</w:t>
      </w:r>
    </w:p>
    <w:p>
      <w:pPr>
        <w:pStyle w:val="NormalIndent"/>
      </w:pPr>
      <w:r>
        <w:rPr/>
        <w:t xml:space="preserve">Speed: &lt; 25 r/s.</w:t>
      </w:r>
    </w:p>
    <w:p>
      <w:pPr>
        <w:pStyle w:val="NormalIndent"/>
      </w:pPr>
      <w:r>
        <w:rPr/>
        <w:t xml:space="preserve">Bearings: Sealed for life ball bearings.</w:t>
      </w:r>
    </w:p>
    <w:p>
      <w:pPr>
        <w:pStyle w:val="NormalIndent"/>
      </w:pPr>
      <w:r>
        <w:rPr/>
        <w:t xml:space="preserve">Minimum degree of protection: IP55.</w:t>
      </w:r>
    </w:p>
    <w:p>
      <w:pPr>
        <w:pStyle w:val="Body Text"/>
      </w:pPr>
      <w:r>
        <w:rPr/>
        <w:t xml:space="preserve">Head pressure control: Provide head pressure control by fan cycling.</w:t>
      </w:r>
    </w:p>
    <w:bookmarkEnd w:id="245"/>
    <w:bookmarkStart w:name="f-10697-57" w:id="247"/>
    <w:p>
      <w:pPr>
        <w:pStyle w:val="Heading4"/>
      </w:pPr>
      <w:bookmarkStart w:name="h-10697-57" w:id="248"/>
      <w:r>
        <w:rPr/>
        <w:t xml:space="preserve">Water cooled condensers</w:t>
      </w:r>
      <w:bookmarkEnd w:id="248"/>
    </w:p>
    <w:p>
      <w:pPr>
        <w:pStyle w:val="Body Text"/>
      </w:pPr>
      <w:r>
        <w:rPr/>
        <w:t xml:space="preserve">Type: Mechanically cleanable shell and tube condensers with steel end plates and shells, and copper or copper alloy extended surface tubes.</w:t>
      </w:r>
    </w:p>
    <w:p>
      <w:pPr>
        <w:pStyle w:val="Body Text"/>
      </w:pPr>
      <w:r>
        <w:rPr/>
        <w:t xml:space="preserve">Performance rating: Rate to AHRI 450 (2007).</w:t>
      </w:r>
    </w:p>
    <w:p>
      <w:pPr>
        <w:pStyle w:val="Body Text"/>
      </w:pPr>
      <w:r>
        <w:rPr/>
        <w:t xml:space="preserve">Design pressures:</w:t>
      </w:r>
    </w:p>
    <w:p>
      <w:pPr>
        <w:pStyle w:val="NormalIndent"/>
      </w:pPr>
      <w:r>
        <w:rPr/>
        <w:t xml:space="preserve">Water side: ≤ 1000 kPa.</w:t>
      </w:r>
    </w:p>
    <w:p>
      <w:pPr>
        <w:pStyle w:val="NormalIndent"/>
      </w:pPr>
      <w:r>
        <w:rPr/>
        <w:t xml:space="preserve">Refrigerant side: To AS/NZS 5149.2 (2016).</w:t>
      </w:r>
    </w:p>
    <w:p>
      <w:pPr>
        <w:pStyle w:val="Body Text"/>
      </w:pPr>
      <w:r>
        <w:rPr/>
        <w:t xml:space="preserve">Drain and vent: Provide valved water side drain and vent connections to each condenser.</w:t>
      </w:r>
    </w:p>
    <w:p>
      <w:pPr>
        <w:pStyle w:val="Body Text"/>
      </w:pPr>
      <w:r>
        <w:rPr/>
        <w:t xml:space="preserve">Compressor cooling: If the compressor is not refrigerant cooled, provide a compressor cooling fan.</w:t>
      </w:r>
    </w:p>
    <w:p>
      <w:pPr>
        <w:pStyle w:val="Body Text"/>
      </w:pPr>
      <w:r>
        <w:rPr/>
        <w:t xml:space="preserve">Sacrificial anodes: Provide sacrificial anodes conforming to AS 2129 (2000) and AS 2239 (2003) in the condenser water boxes to protect all ferrous metals.</w:t>
      </w:r>
    </w:p>
    <w:p>
      <w:pPr>
        <w:pStyle w:val="Body Text"/>
      </w:pPr>
      <w:r>
        <w:rPr/>
        <w:t xml:space="preserve">Head pressure control: Provide a water flow control valve to maintain head pressure.</w:t>
      </w:r>
    </w:p>
    <w:bookmarkEnd w:id="247"/>
    <w:bookmarkStart w:name="f-10697-58" w:id="249"/>
    <w:p>
      <w:pPr>
        <w:pStyle w:val="Heading4"/>
      </w:pPr>
      <w:bookmarkStart w:name="h-10697-58" w:id="250"/>
      <w:r>
        <w:rPr/>
        <w:t xml:space="preserve">Condensing unit enclosure</w:t>
      </w:r>
      <w:bookmarkEnd w:id="250"/>
    </w:p>
    <w:p>
      <w:pPr>
        <w:pStyle w:val="Body Text"/>
      </w:pPr>
      <w:r>
        <w:rPr/>
        <w:t xml:space="preserve">Requirement: Provide an enclosed powder coated casing enclosure rated at IP54 to nominated condensing units. Arrange to be easily removable for service.</w:t>
      </w:r>
    </w:p>
    <w:p>
      <w:pPr>
        <w:pStyle w:val="Instructions"/>
      </w:pPr>
      <w:r>
        <w:rPr/>
        <w:t xml:space="preserve">If required, include in the </w:t>
      </w:r>
      <w:r>
        <w:rPr>
          <w:b/>
        </w:rPr>
        <w:t xml:space="preserve">Cool room schedule</w:t>
      </w:r>
      <w:r>
        <w:rPr/>
        <w:t xml:space="preserve"> or show on the drawings.</w:t>
      </w:r>
    </w:p>
    <w:bookmarkEnd w:id="249"/>
    <w:bookmarkStart w:name="f-10697-59" w:id="251"/>
    <w:p>
      <w:pPr>
        <w:pStyle w:val="Heading3"/>
      </w:pPr>
      <w:bookmarkStart w:name="h-10697-59" w:id="252"/>
      <w:r>
        <w:rPr/>
        <w:t xml:space="preserve">REFRIGERATION PIPE INSULATION</w:t>
      </w:r>
      <w:bookmarkEnd w:id="252"/>
    </w:p>
    <w:bookmarkEnd w:id="251"/>
    <w:bookmarkStart w:name="f-10697-60" w:id="253"/>
    <w:p>
      <w:pPr>
        <w:pStyle w:val="Heading4"/>
      </w:pPr>
      <w:bookmarkStart w:name="h-10697-60" w:id="254"/>
      <w:r>
        <w:rPr/>
        <w:t xml:space="preserve">Material</w:t>
      </w:r>
      <w:bookmarkEnd w:id="254"/>
    </w:p>
    <w:p>
      <w:pPr>
        <w:pStyle w:val="Body Text"/>
      </w:pPr>
      <w:r>
        <w:rPr/>
        <w:t xml:space="preserve">Material R‑Value: To BCA (2025) J6D9.</w:t>
      </w:r>
    </w:p>
    <w:p>
      <w:pPr>
        <w:pStyle w:val="Body Text"/>
      </w:pPr>
      <w:r>
        <w:rPr/>
        <w:t xml:space="preserve">Type: Chemically blown closed cell nitrile rubber or polyethylene in tubular form.</w:t>
      </w:r>
    </w:p>
    <w:p>
      <w:pPr>
        <w:pStyle w:val="Body Text"/>
      </w:pPr>
      <w:r>
        <w:rPr/>
        <w:t xml:space="preserve">Physical properties:</w:t>
      </w:r>
    </w:p>
    <w:p>
      <w:pPr>
        <w:pStyle w:val="NormalIndent"/>
      </w:pPr>
      <w:r>
        <w:rPr/>
        <w:t xml:space="preserve">Maximum thermal conductivity: 0.04 W/(m.K) at 0°C.</w:t>
      </w:r>
    </w:p>
    <w:p>
      <w:pPr>
        <w:pStyle w:val="NormalIndent"/>
      </w:pPr>
      <w:r>
        <w:rPr/>
        <w:t xml:space="preserve">Moisture absorption: Non‑hygroscopic.</w:t>
      </w:r>
    </w:p>
    <w:p>
      <w:pPr>
        <w:pStyle w:val="NormalIndent"/>
      </w:pPr>
      <w:r>
        <w:rPr/>
        <w:t xml:space="preserve">Water vapour resistance factor µ: ≥ 5000 to EN ISO 12629 (2022).</w:t>
      </w:r>
    </w:p>
    <w:p>
      <w:pPr>
        <w:pStyle w:val="Instructions"/>
      </w:pPr>
      <w:r>
        <w:rPr/>
        <w:t xml:space="preserve">Water vapour resistance factor µ is the ratio of the water vapour diffusion resistance of the material to that of still air. As a ratio, it is unitless. If the water vapour permeability of still air is taken as 0.2 g/MN.s, a µ of 5000 is equivalent to 5000 times 0.2 or 1000 g/MN.s, which is 0.0001 µg/N.s.</w:t>
      </w:r>
    </w:p>
    <w:bookmarkEnd w:id="253"/>
    <w:bookmarkStart w:name="f-10697-10697.9" w:id="255"/>
    <w:p>
      <w:pPr>
        <w:pStyle w:val="Heading4"/>
      </w:pPr>
      <w:bookmarkStart w:name="h-10697-10697.9" w:id="256"/>
      <w:r>
        <w:rPr/>
        <w:t xml:space="preserve">Pair coil pipe insulation</w:t>
      </w:r>
      <w:bookmarkEnd w:id="256"/>
    </w:p>
    <w:p>
      <w:pPr>
        <w:pStyle w:val="Body Text"/>
      </w:pPr>
      <w:r>
        <w:rPr/>
        <w:t xml:space="preserve">Marking: If pair coil pre‑insulated pipe is provided, supply it marked with a designation corresponding to the product designation shown in the evidence of conformity submitted to </w:t>
      </w:r>
      <w:r>
        <w:rPr>
          <w:b/>
        </w:rPr>
        <w:t xml:space="preserve">SUBMISSIONS</w:t>
      </w:r>
      <w:r>
        <w:rPr/>
        <w:t xml:space="preserve">, </w:t>
      </w:r>
      <w:r>
        <w:rPr>
          <w:b/>
        </w:rPr>
        <w:t xml:space="preserve">Fire performance</w:t>
      </w:r>
      <w:r>
        <w:rPr/>
        <w:t xml:space="preserve">.</w:t>
      </w:r>
    </w:p>
    <w:p>
      <w:pPr>
        <w:pStyle w:val="Instructions"/>
      </w:pPr>
      <w:r>
        <w:rPr/>
        <w:t xml:space="preserve">Polyethylene foam (often designated LDPE) does not commonly meet the requirements of </w:t>
      </w:r>
      <w:r>
        <w:rPr>
          <w:b/>
        </w:rPr>
        <w:t xml:space="preserve">FIRE PERFORMANCE</w:t>
      </w:r>
      <w:r>
        <w:rPr/>
        <w:t xml:space="preserve">, </w:t>
      </w:r>
      <w:r>
        <w:rPr>
          <w:b/>
        </w:rPr>
        <w:t xml:space="preserve">Fire hazard properties</w:t>
      </w:r>
      <w:r>
        <w:rPr/>
        <w:t xml:space="preserve"> but is widely used in domestic pair coil piping because it is not prohibited by NCC Volume 2. Pair coil refrigeration piping is commonly available from the same manufacturer in two forms, one conforming to </w:t>
      </w:r>
      <w:r>
        <w:rPr>
          <w:b/>
        </w:rPr>
        <w:t xml:space="preserve">FIRE PERFORMANCE</w:t>
      </w:r>
      <w:r>
        <w:rPr/>
        <w:t xml:space="preserve">, </w:t>
      </w:r>
      <w:r>
        <w:rPr>
          <w:b/>
        </w:rPr>
        <w:t xml:space="preserve">Fire hazard properties</w:t>
      </w:r>
      <w:r>
        <w:rPr/>
        <w:t xml:space="preserve"> and the other, intended for domestic use, with no published fire hazard properties. The purpose of this provision is to make it possible to easily identify which type has been supplied.</w:t>
      </w:r>
    </w:p>
    <w:bookmarkEnd w:id="255"/>
    <w:bookmarkStart w:name="f-10697-61" w:id="257"/>
    <w:p>
      <w:pPr>
        <w:pStyle w:val="Heading3"/>
      </w:pPr>
      <w:bookmarkStart w:name="h-10697-61" w:id="258"/>
      <w:r>
        <w:rPr/>
        <w:t xml:space="preserve">SHELVING</w:t>
      </w:r>
      <w:bookmarkEnd w:id="258"/>
    </w:p>
    <w:bookmarkEnd w:id="257"/>
    <w:bookmarkStart w:name="f-10697-62" w:id="259"/>
    <w:p>
      <w:pPr>
        <w:pStyle w:val="Heading4"/>
      </w:pPr>
      <w:bookmarkStart w:name="h-10697-62" w:id="260"/>
      <w:r>
        <w:rPr/>
        <w:t xml:space="preserve">General</w:t>
      </w:r>
      <w:bookmarkEnd w:id="260"/>
    </w:p>
    <w:p>
      <w:pPr>
        <w:pStyle w:val="Body Text"/>
      </w:pPr>
      <w:r>
        <w:rPr/>
        <w:t xml:space="preserve">Shelving: Provide proprietary adjustable modular shelving as follows:</w:t>
      </w:r>
    </w:p>
    <w:p>
      <w:pPr>
        <w:pStyle w:val="NormalIndent"/>
      </w:pPr>
      <w:r>
        <w:rPr/>
        <w:t xml:space="preserve">Posts: 25 x 25 x 1.2 mm cold‑rolled angle section with 25 mm diameter foot with 32 mm height adjustment. Provide slotted holes at regular centres in the posts for shelf height adjustment.</w:t>
      </w:r>
    </w:p>
    <w:p>
      <w:pPr>
        <w:pStyle w:val="NormalIndent"/>
      </w:pPr>
      <w:r>
        <w:rPr/>
        <w:t xml:space="preserve">Shelf frames: 32 x 2.5 mm cold‑rolled angle section at front and rear.</w:t>
      </w:r>
    </w:p>
    <w:p>
      <w:pPr>
        <w:pStyle w:val="NormalIndent"/>
      </w:pPr>
      <w:r>
        <w:rPr/>
        <w:t xml:space="preserve">Moulded shelves: ABS polymer.</w:t>
      </w:r>
    </w:p>
    <w:p>
      <w:pPr>
        <w:pStyle w:val="NormalIndent"/>
      </w:pPr>
      <w:r>
        <w:rPr/>
        <w:t xml:space="preserve">Wire grid shelves: Welded frame with 4 mm wires at 25 mm centres supported on 8 mm centre and edge bars.</w:t>
      </w:r>
    </w:p>
    <w:p>
      <w:pPr>
        <w:pStyle w:val="NormalIndent"/>
      </w:pPr>
      <w:r>
        <w:rPr/>
        <w:t xml:space="preserve">Dunnage shelves: Welded frame with 25 x 25 x 1.6 mm square hollow section tubes at 65 mm centres.</w:t>
      </w:r>
    </w:p>
    <w:p>
      <w:pPr>
        <w:pStyle w:val="Instructions"/>
      </w:pPr>
      <w:r>
        <w:rPr/>
        <w:t xml:space="preserve">Consider this construction also for shelves that are subject to high loadings and/or greater wear and tear.</w:t>
      </w:r>
    </w:p>
    <w:p>
      <w:pPr>
        <w:pStyle w:val="Body Text"/>
      </w:pPr>
      <w:r>
        <w:rPr/>
        <w:t xml:space="preserve">Material: ABS, hot dip galvanized steel or stainless steel as documented.</w:t>
      </w:r>
    </w:p>
    <w:p>
      <w:pPr>
        <w:pStyle w:val="Instructions"/>
      </w:pPr>
      <w:r>
        <w:rPr/>
        <w:t xml:space="preserve">Include material in the </w:t>
      </w:r>
      <w:r>
        <w:rPr>
          <w:b/>
        </w:rPr>
        <w:t xml:space="preserve">Shelving schedule</w:t>
      </w:r>
      <w:r>
        <w:rPr/>
        <w:t xml:space="preserve"> or show on the drawings.</w:t>
      </w:r>
    </w:p>
    <w:bookmarkEnd w:id="259"/>
    <w:bookmarkEnd w:id="115"/>
    <w:bookmarkStart w:name="f-10701" w:id="261"/>
    <w:bookmarkStart w:name="f-10701-1" w:id="262"/>
    <w:p>
      <w:pPr>
        <w:pStyle w:val="Heading2"/>
      </w:pPr>
      <w:bookmarkStart w:name="h-10701-1" w:id="263"/>
      <w:r>
        <w:rPr/>
        <w:t xml:space="preserve">EXECUTION</w:t>
      </w:r>
      <w:bookmarkEnd w:id="263"/>
    </w:p>
    <w:bookmarkEnd w:id="262"/>
    <w:bookmarkStart w:name="f-10701-2" w:id="264"/>
    <w:p>
      <w:pPr>
        <w:pStyle w:val="Heading3"/>
      </w:pPr>
      <w:bookmarkStart w:name="h-10701-2" w:id="265"/>
      <w:r>
        <w:rPr/>
        <w:t xml:space="preserve">PANEL INSTALLATION</w:t>
      </w:r>
      <w:bookmarkEnd w:id="265"/>
    </w:p>
    <w:bookmarkEnd w:id="264"/>
    <w:bookmarkStart w:name="f-10701-10701.1" w:id="266"/>
    <w:p>
      <w:pPr>
        <w:pStyle w:val="Heading4"/>
      </w:pPr>
      <w:bookmarkStart w:name="h-10701-10701.1" w:id="267"/>
      <w:r>
        <w:rPr/>
        <w:t xml:space="preserve">Manufacturer's instructions</w:t>
      </w:r>
      <w:bookmarkEnd w:id="267"/>
    </w:p>
    <w:p>
      <w:pPr>
        <w:pStyle w:val="Body Text"/>
      </w:pPr>
      <w:r>
        <w:rPr/>
        <w:t xml:space="preserve">Requirement: Conform to the recommendations of ASKIN® </w:t>
      </w:r>
      <w:r>
        <w:rPr>
          <w:i/>
        </w:rPr>
        <w:t xml:space="preserve">Coldroom Construction Guide,</w:t>
      </w:r>
      <w:r>
        <w:rPr/>
        <w:t xml:space="preserve"> </w:t>
      </w:r>
      <w:r>
        <w:rPr>
          <w:i/>
        </w:rPr>
        <w:t xml:space="preserve">IPCA Code of practice (2017)</w:t>
      </w:r>
      <w:r>
        <w:rPr/>
        <w:t xml:space="preserve"> and construction drawings.</w:t>
      </w:r>
    </w:p>
    <w:p>
      <w:pPr>
        <w:pStyle w:val="Body Text"/>
      </w:pPr>
      <w:r>
        <w:rPr/>
        <w:t xml:space="preserve">Completion: Register the project's certificate of compliance to </w:t>
      </w:r>
      <w:r>
        <w:rPr>
          <w:i/>
        </w:rPr>
        <w:t xml:space="preserve">IPCA Code of practice (2017)</w:t>
      </w:r>
      <w:r>
        <w:rPr/>
        <w:t xml:space="preserve"> Annex D.</w:t>
      </w:r>
    </w:p>
    <w:bookmarkEnd w:id="266"/>
    <w:bookmarkStart w:name="f-10701-3" w:id="268"/>
    <w:p>
      <w:pPr>
        <w:pStyle w:val="Heading4"/>
      </w:pPr>
      <w:bookmarkStart w:name="h-10701-3" w:id="269"/>
      <w:r>
        <w:rPr/>
        <w:t xml:space="preserve">Joints</w:t>
      </w:r>
      <w:bookmarkEnd w:id="269"/>
    </w:p>
    <w:p>
      <w:pPr>
        <w:pStyle w:val="Body Text"/>
      </w:pPr>
      <w:r>
        <w:rPr/>
        <w:t xml:space="preserve">General: Provide each panel as a 1200 mm wide module, tightly drawn and interlocked with the Austral slip joint system to provide structural integrity, thermal efficiency and a vapour barrier.</w:t>
      </w:r>
    </w:p>
    <w:p>
      <w:pPr>
        <w:pStyle w:val="Body Text"/>
      </w:pPr>
      <w:r>
        <w:rPr/>
        <w:t xml:space="preserve">Joint finish: Provide prepainted steel jointing sections internally and externally to all principal connections. Provide powder coated aluminium extrusions to base fixing connections and at any secondary detailing as follows:</w:t>
      </w:r>
    </w:p>
    <w:p>
      <w:pPr>
        <w:pStyle w:val="NormalIndent"/>
      </w:pPr>
      <w:r>
        <w:rPr/>
        <w:t xml:space="preserve">At panel junctions.</w:t>
      </w:r>
    </w:p>
    <w:p>
      <w:pPr>
        <w:pStyle w:val="NormalIndent"/>
      </w:pPr>
      <w:r>
        <w:rPr/>
        <w:t xml:space="preserve">Between panels and building structures.</w:t>
      </w:r>
    </w:p>
    <w:p>
      <w:pPr>
        <w:pStyle w:val="Body Text"/>
      </w:pPr>
      <w:r>
        <w:rPr/>
        <w:t xml:space="preserve">Sealant: Apply a continuous bead of sealant along extrusions to form a vapour seal.</w:t>
      </w:r>
    </w:p>
    <w:p>
      <w:pPr>
        <w:pStyle w:val="Body Text"/>
      </w:pPr>
      <w:r>
        <w:rPr/>
        <w:t xml:space="preserve">Floor joint: Provide an aluminium F extrusion base mould with mitred corners at the base of walls. Fix at 300 mm centres and/or to professional engineer's recommendations.</w:t>
      </w:r>
    </w:p>
    <w:p>
      <w:pPr>
        <w:pStyle w:val="Instructions"/>
      </w:pPr>
      <w:r>
        <w:rPr/>
        <w:t xml:space="preserve">See </w:t>
      </w:r>
      <w:r>
        <w:rPr>
          <w:i/>
        </w:rPr>
        <w:t xml:space="preserve">0171 General requirements</w:t>
      </w:r>
      <w:r>
        <w:rPr/>
        <w:t xml:space="preserve"> for the definition of professional engineer.</w:t>
      </w:r>
    </w:p>
    <w:bookmarkEnd w:id="268"/>
    <w:bookmarkStart w:name="f-10701-4" w:id="270"/>
    <w:p>
      <w:pPr>
        <w:pStyle w:val="Heading4"/>
      </w:pPr>
      <w:bookmarkStart w:name="h-10701-4" w:id="271"/>
      <w:r>
        <w:rPr/>
        <w:t xml:space="preserve">Panel butt jointing</w:t>
      </w:r>
      <w:bookmarkEnd w:id="271"/>
    </w:p>
    <w:p>
      <w:pPr>
        <w:pStyle w:val="Body Text"/>
      </w:pPr>
      <w:r>
        <w:rPr/>
        <w:t xml:space="preserve">General: Join using ASKIN® T‑section to the internal face with expansion flashing riveted to the external face. Apply sealant to provide external vapour barrier.</w:t>
      </w:r>
    </w:p>
    <w:bookmarkEnd w:id="270"/>
    <w:bookmarkStart w:name="f-10701-5" w:id="272"/>
    <w:p>
      <w:pPr>
        <w:pStyle w:val="Heading4"/>
      </w:pPr>
      <w:bookmarkStart w:name="h-10701-5" w:id="273"/>
      <w:r>
        <w:rPr/>
        <w:t xml:space="preserve">Cut panels</w:t>
      </w:r>
      <w:bookmarkEnd w:id="273"/>
    </w:p>
    <w:p>
      <w:pPr>
        <w:pStyle w:val="Body Text"/>
      </w:pPr>
      <w:r>
        <w:rPr/>
        <w:t xml:space="preserve">Position: Locate cut panels at the corners of the room.</w:t>
      </w:r>
    </w:p>
    <w:p>
      <w:pPr>
        <w:pStyle w:val="Body Text"/>
      </w:pPr>
      <w:r>
        <w:rPr/>
        <w:t xml:space="preserve">Cutting: Use only ASKIN® approved blades.</w:t>
      </w:r>
    </w:p>
    <w:bookmarkEnd w:id="272"/>
    <w:bookmarkStart w:name="f-10701-6" w:id="274"/>
    <w:p>
      <w:pPr>
        <w:pStyle w:val="Heading4"/>
      </w:pPr>
      <w:bookmarkStart w:name="h-10701-6" w:id="275"/>
      <w:r>
        <w:rPr/>
        <w:t xml:space="preserve">Joint types</w:t>
      </w:r>
      <w:bookmarkEnd w:id="275"/>
    </w:p>
    <w:p>
      <w:pPr>
        <w:pStyle w:val="Body Text"/>
      </w:pPr>
      <w:r>
        <w:rPr/>
        <w:t xml:space="preserve">External corner joints: 50 x 50 mm folded Colorbond® angle trim. Fix the external trim with sealed blind rivets.</w:t>
      </w:r>
    </w:p>
    <w:p>
      <w:pPr>
        <w:pStyle w:val="Body Text"/>
      </w:pPr>
      <w:r>
        <w:rPr/>
        <w:t xml:space="preserve">Internal corner joints: 40 x 40 mm folded Colorbond® channel or angle. Provide an extruded aluminium cove moulding with more than 25 mm radius to internal joints.</w:t>
      </w:r>
    </w:p>
    <w:p>
      <w:pPr>
        <w:pStyle w:val="Instructions"/>
      </w:pPr>
      <w:r>
        <w:rPr/>
        <w:t xml:space="preserve">Aluminium cove is optional and can be fixed over the top of the internal angle for hygiene or aesthetic reasons.</w:t>
      </w:r>
    </w:p>
    <w:p>
      <w:pPr>
        <w:pStyle w:val="Body Text"/>
      </w:pPr>
      <w:r>
        <w:rPr/>
        <w:t xml:space="preserve">Wall to ceiling joints: Form a rebate in the wall panel to receive the ceiling panel. Cut back the internal skin of the panel that is not rebated for the width of the rebate to provide continuous insulation contact.</w:t>
      </w:r>
    </w:p>
    <w:p>
      <w:pPr>
        <w:pStyle w:val="Instructions"/>
      </w:pPr>
      <w:r>
        <w:rPr/>
        <w:t xml:space="preserve">This is to prevent cold bridging at this point.</w:t>
      </w:r>
    </w:p>
    <w:p>
      <w:pPr>
        <w:pStyle w:val="Body Text"/>
      </w:pPr>
      <w:r>
        <w:rPr/>
        <w:t xml:space="preserve">Floor insulation to wall joint: Remove the inside skin of the cool room floor wall panels for the height of the floor insulation to form insulation continuity without gaps.</w:t>
      </w:r>
    </w:p>
    <w:p>
      <w:pPr>
        <w:pStyle w:val="Instructions"/>
      </w:pPr>
      <w:r>
        <w:rPr/>
        <w:t xml:space="preserve">This is to prevent cold bridging at this point.</w:t>
      </w:r>
    </w:p>
    <w:bookmarkEnd w:id="274"/>
    <w:bookmarkStart w:name="f-10701-7" w:id="276"/>
    <w:p>
      <w:pPr>
        <w:pStyle w:val="Heading4"/>
      </w:pPr>
      <w:bookmarkStart w:name="h-10701-7" w:id="277"/>
      <w:r>
        <w:rPr/>
        <w:t xml:space="preserve">Joint covers</w:t>
      </w:r>
      <w:bookmarkEnd w:id="277"/>
    </w:p>
    <w:p>
      <w:pPr>
        <w:pStyle w:val="Body Text"/>
      </w:pPr>
      <w:r>
        <w:rPr/>
        <w:t xml:space="preserve">External wall and ceiling joint cover: Provide 50 x 50 mm extruded aluminium angle or 0.55 mm steel angle of the same material and finish as the panel skin.</w:t>
      </w:r>
    </w:p>
    <w:p>
      <w:pPr>
        <w:pStyle w:val="Body Text"/>
      </w:pPr>
      <w:r>
        <w:rPr/>
        <w:t xml:space="preserve">Internal wall and ceiling joint cover: Coved aluminium extrusion or 0.55 mm steel angle of the same material and finish as the panel skin.</w:t>
      </w:r>
    </w:p>
    <w:p>
      <w:pPr>
        <w:pStyle w:val="Instructions"/>
      </w:pPr>
      <w:r>
        <w:rPr/>
        <w:t xml:space="preserve">Delete steel angle if only coved extrusion required.</w:t>
      </w:r>
    </w:p>
    <w:p>
      <w:pPr>
        <w:pStyle w:val="Body Text"/>
      </w:pPr>
      <w:r>
        <w:rPr/>
        <w:t xml:space="preserve">Internal floor joint cover: Coved aluminium extrusion.</w:t>
      </w:r>
    </w:p>
    <w:p>
      <w:pPr>
        <w:pStyle w:val="Body Text"/>
      </w:pPr>
      <w:r>
        <w:rPr/>
        <w:t xml:space="preserve">Joint cover fixing: Fix the joint covers to panels with sealed blind rivets.</w:t>
      </w:r>
    </w:p>
    <w:bookmarkEnd w:id="276"/>
    <w:bookmarkStart w:name="f-10701-8" w:id="278"/>
    <w:p>
      <w:pPr>
        <w:pStyle w:val="Heading4"/>
      </w:pPr>
      <w:bookmarkStart w:name="h-10701-8" w:id="279"/>
      <w:r>
        <w:rPr/>
        <w:t xml:space="preserve">Panel penetrations</w:t>
      </w:r>
      <w:bookmarkEnd w:id="279"/>
    </w:p>
    <w:p>
      <w:pPr>
        <w:pStyle w:val="Body Text"/>
      </w:pPr>
      <w:r>
        <w:rPr/>
        <w:t xml:space="preserve">Non fire‑rated construction: Provide flanged PVC‑U sleeves for service penetrations through wall and ceiling panels. Fill the void between the service and the sleeve with sealant. Vapour seal the panel.</w:t>
      </w:r>
    </w:p>
    <w:p>
      <w:pPr>
        <w:pStyle w:val="Body Text"/>
      </w:pPr>
      <w:r>
        <w:rPr/>
        <w:t xml:space="preserve">Fire‑rated construction:</w:t>
      </w:r>
    </w:p>
    <w:p>
      <w:pPr>
        <w:pStyle w:val="NormalIndent"/>
      </w:pPr>
      <w:r>
        <w:rPr/>
        <w:t xml:space="preserve">Penetrations: Provide steel sleeve fire collar if services penetrate fire‑rated wall and ceiling panel. Fill the void between the service and the sleeve with an ASKIN® approved fire‑rated foam. Provide one of the following: </w:t>
      </w:r>
    </w:p>
    <w:p>
      <w:pPr>
        <w:pStyle w:val="NormalIndent2"/>
      </w:pPr>
      <w:r>
        <w:rPr/>
        <w:t xml:space="preserve">Alfasbond FR.</w:t>
      </w:r>
    </w:p>
    <w:p>
      <w:pPr>
        <w:pStyle w:val="NormalIndent2"/>
      </w:pPr>
      <w:r>
        <w:rPr/>
        <w:t xml:space="preserve">Sikaboom FR.</w:t>
      </w:r>
    </w:p>
    <w:p>
      <w:pPr>
        <w:pStyle w:val="NormalIndent"/>
      </w:pPr>
      <w:r>
        <w:rPr/>
        <w:t xml:space="preserve">Flashing: Provide a colour coated steel flashing around the penetration fixed with 4 mm diameter stainless steel rivets to the wall, sealed with Sika Firerate or Fosroc Flamex One sealant.</w:t>
      </w:r>
    </w:p>
    <w:bookmarkEnd w:id="278"/>
    <w:bookmarkStart w:name="f-10701-9" w:id="280"/>
    <w:p>
      <w:pPr>
        <w:pStyle w:val="Heading4"/>
      </w:pPr>
      <w:bookmarkStart w:name="h-10701-9" w:id="281"/>
      <w:r>
        <w:rPr/>
        <w:t xml:space="preserve">External flashing</w:t>
      </w:r>
      <w:bookmarkEnd w:id="281"/>
    </w:p>
    <w:p>
      <w:pPr>
        <w:pStyle w:val="Body Text"/>
      </w:pPr>
      <w:r>
        <w:rPr/>
        <w:t xml:space="preserve">Construction: Provide extruded aluminium or colour coated steel channel or angle to the base of walls. If this is exposed to the elements, provide either an apron flashing of colour coated steel to prevent ingress of water into the base joint, or a minimum 25 mm radius cove moulding, as a flashing between the external wall and the external floor.</w:t>
      </w:r>
    </w:p>
    <w:p>
      <w:pPr>
        <w:pStyle w:val="Instructions"/>
      </w:pPr>
      <w:r>
        <w:rPr/>
        <w:t xml:space="preserve">This is typical. Edit to suit external floor finish.</w:t>
      </w:r>
    </w:p>
    <w:bookmarkEnd w:id="280"/>
    <w:bookmarkStart w:name="f-10701-10" w:id="282"/>
    <w:p>
      <w:pPr>
        <w:pStyle w:val="Heading4"/>
      </w:pPr>
      <w:bookmarkStart w:name="h-10701-10" w:id="283"/>
      <w:r>
        <w:rPr/>
        <w:t xml:space="preserve">Internal wall protection</w:t>
      </w:r>
      <w:bookmarkEnd w:id="283"/>
    </w:p>
    <w:p>
      <w:pPr>
        <w:pStyle w:val="Body Text"/>
      </w:pPr>
      <w:r>
        <w:rPr/>
        <w:t xml:space="preserve">Requirement: Provide wall protection to internal walls of the cool room.</w:t>
      </w:r>
    </w:p>
    <w:p>
      <w:pPr>
        <w:pStyle w:val="Instructions"/>
      </w:pPr>
      <w:r>
        <w:rPr/>
        <w:t xml:space="preserve">If required, include in the </w:t>
      </w:r>
      <w:r>
        <w:rPr>
          <w:b/>
        </w:rPr>
        <w:t xml:space="preserve">Cool room schedule</w:t>
      </w:r>
      <w:r>
        <w:rPr/>
        <w:t xml:space="preserve"> or show on the drawings.</w:t>
      </w:r>
    </w:p>
    <w:p>
      <w:pPr>
        <w:pStyle w:val="Body Text"/>
      </w:pPr>
      <w:r>
        <w:rPr/>
        <w:t xml:space="preserve">Cool rooms with no shelving:</w:t>
      </w:r>
    </w:p>
    <w:p>
      <w:pPr>
        <w:pStyle w:val="NormalIndent"/>
      </w:pPr>
      <w:r>
        <w:rPr/>
        <w:t xml:space="preserve">With pallet access ‑ Concrete wearing surface floor: Provide a hot dip galvanized 100 x 100 x 6 mm steel angle bolted to the floor at 600 mm centres and 100 mm from the wall.</w:t>
      </w:r>
    </w:p>
    <w:p>
      <w:pPr>
        <w:pStyle w:val="NormalIndent"/>
      </w:pPr>
      <w:r>
        <w:rPr/>
        <w:t xml:space="preserve">Aluminium chequer plate or seamless vinyl surface: Provide two ASKIN® heavy duty Rub Rail extrusions, either two 100 x 25 mm or one 150 x 60 x 1.8 mm extruded aluminium rub rail section, fixed horizontally to the full width of each wall. Locate at 250 mm centres vertically, with the lowest bump rail 100 mm above the finished floor.</w:t>
      </w:r>
    </w:p>
    <w:p>
      <w:pPr>
        <w:pStyle w:val="Body Text"/>
      </w:pPr>
      <w:r>
        <w:rPr/>
        <w:t xml:space="preserve">Cool rooms with shelving: Provide heavy duty 100 x 25 mm extruded aluminium bump rail sections fixed horizontally to the full width of the wall. Provide one per shelf at a height to suit the shelving.</w:t>
      </w:r>
    </w:p>
    <w:bookmarkEnd w:id="282"/>
    <w:bookmarkStart w:name="f-10701-10701.2" w:id="284"/>
    <w:p>
      <w:pPr>
        <w:pStyle w:val="Heading4"/>
      </w:pPr>
      <w:bookmarkStart w:name="h-10701-10701.2" w:id="285"/>
      <w:r>
        <w:rPr/>
        <w:t xml:space="preserve">High ambient humidity environments</w:t>
      </w:r>
      <w:bookmarkEnd w:id="285"/>
    </w:p>
    <w:p>
      <w:pPr>
        <w:pStyle w:val="Body Text"/>
      </w:pPr>
      <w:r>
        <w:rPr/>
        <w:t xml:space="preserve">Requirement: If ASKIN XFLAM panels are installed in situations where ambient humidity could cause condensation, provide the following:</w:t>
      </w:r>
    </w:p>
    <w:p>
      <w:pPr>
        <w:pStyle w:val="Instructions"/>
      </w:pPr>
      <w:r>
        <w:rPr/>
        <w:t xml:space="preserve">High ambient humidity situations include the wet tropics and within buildings with high internal humidity such as swimming pools. Document in the </w:t>
      </w:r>
      <w:r>
        <w:rPr>
          <w:b/>
        </w:rPr>
        <w:t xml:space="preserve">Cool room schedule</w:t>
      </w:r>
      <w:r>
        <w:rPr/>
        <w:t xml:space="preserve">.</w:t>
      </w:r>
    </w:p>
    <w:p>
      <w:pPr>
        <w:pStyle w:val="NormalIndent"/>
      </w:pPr>
      <w:r>
        <w:rPr/>
        <w:t xml:space="preserve">Intermediate supports in high humidity applications: Seal along purlins using two unbroken runs of sealant tape or neoprene foam tape: 4.8 x 60 mm.</w:t>
      </w:r>
    </w:p>
    <w:p>
      <w:pPr>
        <w:pStyle w:val="NormalIndent"/>
      </w:pPr>
      <w:r>
        <w:rPr/>
        <w:t xml:space="preserve">Coating for high humidity internal environments, including swimming pools: ASKIN 200 PLUS.</w:t>
      </w:r>
    </w:p>
    <w:bookmarkEnd w:id="284"/>
    <w:bookmarkStart w:name="f-10701-11" w:id="286"/>
    <w:p>
      <w:pPr>
        <w:pStyle w:val="Heading3"/>
      </w:pPr>
      <w:bookmarkStart w:name="h-10701-11" w:id="287"/>
      <w:r>
        <w:rPr/>
        <w:t xml:space="preserve">SEALING</w:t>
      </w:r>
      <w:bookmarkEnd w:id="287"/>
    </w:p>
    <w:bookmarkEnd w:id="286"/>
    <w:bookmarkStart w:name="f-10701-10701.3" w:id="288"/>
    <w:p>
      <w:pPr>
        <w:pStyle w:val="Heading4"/>
      </w:pPr>
      <w:bookmarkStart w:name="h-10701-10701.3" w:id="289"/>
      <w:r>
        <w:rPr/>
        <w:t xml:space="preserve">Manufacturer's instructions</w:t>
      </w:r>
      <w:bookmarkEnd w:id="289"/>
    </w:p>
    <w:p>
      <w:pPr>
        <w:pStyle w:val="Body Text"/>
      </w:pPr>
      <w:r>
        <w:rPr/>
        <w:t xml:space="preserve">Requirement: Conform to the recommendations of ASKIN® </w:t>
      </w:r>
      <w:r>
        <w:rPr>
          <w:i/>
        </w:rPr>
        <w:t xml:space="preserve">Cool room Construction Guide</w:t>
      </w:r>
      <w:r>
        <w:rPr/>
        <w:t xml:space="preserve"> and construction drawings.</w:t>
      </w:r>
    </w:p>
    <w:bookmarkEnd w:id="288"/>
    <w:bookmarkStart w:name="f-10701-12" w:id="290"/>
    <w:p>
      <w:pPr>
        <w:pStyle w:val="Heading4"/>
      </w:pPr>
      <w:bookmarkStart w:name="h-10701-12" w:id="291"/>
      <w:r>
        <w:rPr/>
        <w:t xml:space="preserve">Sealants</w:t>
      </w:r>
      <w:bookmarkEnd w:id="291"/>
    </w:p>
    <w:p>
      <w:pPr>
        <w:pStyle w:val="Body Text"/>
      </w:pPr>
      <w:r>
        <w:rPr/>
        <w:t xml:space="preserve">Type: Use a mastic sealant for internal mating surfaces and a liquid sealant as a secondary vapour barrier on external joints. Provide an ASKIN® approved sealant. Provide one of the following:</w:t>
      </w:r>
    </w:p>
    <w:p>
      <w:pPr>
        <w:pStyle w:val="NormalIndent"/>
      </w:pPr>
      <w:r>
        <w:rPr/>
        <w:t xml:space="preserve">Selleys N Mastic.</w:t>
      </w:r>
    </w:p>
    <w:p>
      <w:pPr>
        <w:pStyle w:val="NormalIndent"/>
      </w:pPr>
      <w:r>
        <w:rPr/>
        <w:t xml:space="preserve">Sika PRO PU sealant.</w:t>
      </w:r>
    </w:p>
    <w:bookmarkEnd w:id="290"/>
    <w:bookmarkStart w:name="f-10701-10701.4" w:id="292"/>
    <w:p>
      <w:pPr>
        <w:pStyle w:val="Heading4"/>
      </w:pPr>
      <w:bookmarkStart w:name="h-10701-10701.4" w:id="293"/>
      <w:r>
        <w:rPr/>
        <w:t xml:space="preserve">Sealants for fire‑rated cool room construction</w:t>
      </w:r>
      <w:bookmarkEnd w:id="293"/>
    </w:p>
    <w:p>
      <w:pPr>
        <w:pStyle w:val="Body Text"/>
      </w:pPr>
      <w:r>
        <w:rPr/>
        <w:t xml:space="preserve">Type: Use a mastic sealant for internal mating surfaces and an acrylic fire‑rated sealant as an intumescent barrier on external joints. If fire‑rated sealants are required on internal slip joints, provide breathing gap for 1 m or 10% of the height of the joint, whichever is the greater. Provide an ASKIN® approved sealant. Provide one of the following:</w:t>
      </w:r>
    </w:p>
    <w:p>
      <w:pPr>
        <w:pStyle w:val="NormalIndent"/>
      </w:pPr>
      <w:r>
        <w:rPr/>
        <w:t xml:space="preserve">Fosroc Flamex One.</w:t>
      </w:r>
    </w:p>
    <w:p>
      <w:pPr>
        <w:pStyle w:val="NormalIndent"/>
      </w:pPr>
      <w:r>
        <w:rPr/>
        <w:t xml:space="preserve">Sika Fire Rate.</w:t>
      </w:r>
    </w:p>
    <w:bookmarkEnd w:id="292"/>
    <w:bookmarkStart w:name="f-10701-13" w:id="294"/>
    <w:p>
      <w:pPr>
        <w:pStyle w:val="Heading4"/>
      </w:pPr>
      <w:bookmarkStart w:name="h-10701-13" w:id="295"/>
      <w:r>
        <w:rPr/>
        <w:t xml:space="preserve">Vapour sealing</w:t>
      </w:r>
      <w:bookmarkEnd w:id="295"/>
    </w:p>
    <w:p>
      <w:pPr>
        <w:pStyle w:val="Body Text"/>
      </w:pPr>
      <w:r>
        <w:rPr/>
        <w:t xml:space="preserve">Construction: Form a continuous external vapour barrier around the cool room by vapour sealing the external wall and ceiling joints and penetrations, and by sealing the locating section to the base of the wall panels and to the vapour barrier membrane.</w:t>
      </w:r>
    </w:p>
    <w:bookmarkEnd w:id="294"/>
    <w:bookmarkStart w:name="f-10701-14" w:id="296"/>
    <w:p>
      <w:pPr>
        <w:pStyle w:val="Heading4"/>
      </w:pPr>
      <w:bookmarkStart w:name="h-10701-14" w:id="297"/>
      <w:r>
        <w:rPr/>
        <w:t xml:space="preserve">Water sealing</w:t>
      </w:r>
      <w:bookmarkEnd w:id="297"/>
    </w:p>
    <w:p>
      <w:pPr>
        <w:pStyle w:val="Body Text"/>
      </w:pPr>
      <w:r>
        <w:rPr/>
        <w:t xml:space="preserve">Construction: Form a waterproof joint between walls and floor wearing surfaces by sealing the internal cove and external flashing mouldings to the respective wall and floor surfaces. Seal internal butt and corner joints to 1 m above the floor where wash‑down is required.</w:t>
      </w:r>
    </w:p>
    <w:bookmarkEnd w:id="296"/>
    <w:bookmarkStart w:name="f-10701-15" w:id="298"/>
    <w:p>
      <w:pPr>
        <w:pStyle w:val="Heading3"/>
      </w:pPr>
      <w:bookmarkStart w:name="h-10701-15" w:id="299"/>
      <w:r>
        <w:rPr/>
        <w:t xml:space="preserve">PRESSURE RELIEF</w:t>
      </w:r>
      <w:bookmarkEnd w:id="299"/>
    </w:p>
    <w:bookmarkEnd w:id="298"/>
    <w:bookmarkStart w:name="f-10701-16" w:id="300"/>
    <w:p>
      <w:pPr>
        <w:pStyle w:val="Heading4"/>
      </w:pPr>
      <w:bookmarkStart w:name="h-10701-16" w:id="301"/>
      <w:r>
        <w:rPr/>
        <w:t xml:space="preserve">Relief port</w:t>
      </w:r>
      <w:bookmarkEnd w:id="301"/>
    </w:p>
    <w:p>
      <w:pPr>
        <w:pStyle w:val="Body Text"/>
      </w:pPr>
      <w:r>
        <w:rPr/>
        <w:t xml:space="preserve">Requirement: Conform to the following:</w:t>
      </w:r>
    </w:p>
    <w:p>
      <w:pPr>
        <w:pStyle w:val="NormalIndent"/>
      </w:pPr>
      <w:r>
        <w:rPr/>
        <w:t xml:space="preserve">For rooms with an operating temperature not more than 0°C and volume of 300 m</w:t>
      </w:r>
      <w:r>
        <w:rPr>
          <w:vertAlign w:val="superscript"/>
        </w:rPr>
        <w:t xml:space="preserve">3</w:t>
      </w:r>
      <w:r>
        <w:rPr/>
        <w:t xml:space="preserve"> or less, provide one ASKIN® PP1 relief ports per 100 m</w:t>
      </w:r>
      <w:r>
        <w:rPr>
          <w:vertAlign w:val="superscript"/>
        </w:rPr>
        <w:t xml:space="preserve">3</w:t>
      </w:r>
      <w:r>
        <w:rPr/>
        <w:t xml:space="preserve"> of included volume.</w:t>
      </w:r>
    </w:p>
    <w:p>
      <w:pPr>
        <w:pStyle w:val="NormalIndent"/>
      </w:pPr>
      <w:r>
        <w:rPr/>
        <w:t xml:space="preserve">For rooms with operating temperature not more than 0°C and volume of 300 m</w:t>
      </w:r>
      <w:r>
        <w:rPr>
          <w:vertAlign w:val="superscript"/>
        </w:rPr>
        <w:t xml:space="preserve">3</w:t>
      </w:r>
      <w:r>
        <w:rPr/>
        <w:t xml:space="preserve"> or more, provide one ASKIN® PP2 relief port per 3000 m</w:t>
      </w:r>
      <w:r>
        <w:rPr>
          <w:vertAlign w:val="superscript"/>
        </w:rPr>
        <w:t xml:space="preserve">3 </w:t>
      </w:r>
      <w:r>
        <w:rPr/>
        <w:t xml:space="preserve">of included volume.</w:t>
      </w:r>
    </w:p>
    <w:p>
      <w:pPr>
        <w:pStyle w:val="Body Text"/>
      </w:pPr>
      <w:r>
        <w:rPr/>
        <w:t xml:space="preserve">Type: ASKIN® approved or supplied.</w:t>
      </w:r>
    </w:p>
    <w:p>
      <w:pPr>
        <w:pStyle w:val="Body Text"/>
      </w:pPr>
      <w:r>
        <w:rPr/>
        <w:t xml:space="preserve">Construction: Round polypropylene or square injected with internal vertical hinged vanes.</w:t>
      </w:r>
    </w:p>
    <w:p>
      <w:pPr>
        <w:pStyle w:val="Body Text"/>
      </w:pPr>
      <w:r>
        <w:rPr/>
        <w:t xml:space="preserve">Size: ≥ 150 mm.</w:t>
      </w:r>
    </w:p>
    <w:p>
      <w:pPr>
        <w:pStyle w:val="Body Text"/>
      </w:pPr>
      <w:r>
        <w:rPr/>
        <w:t xml:space="preserve">Heater: Provide an electric heater in each relief port to prevent malfunction resulting from freezing.</w:t>
      </w:r>
    </w:p>
    <w:bookmarkEnd w:id="300"/>
    <w:bookmarkStart w:name="f-10701-17" w:id="302"/>
    <w:p>
      <w:pPr>
        <w:pStyle w:val="Heading3"/>
      </w:pPr>
      <w:bookmarkStart w:name="h-10701-17" w:id="303"/>
      <w:r>
        <w:rPr/>
        <w:t xml:space="preserve">CEILING SUPPORT</w:t>
      </w:r>
      <w:bookmarkEnd w:id="303"/>
    </w:p>
    <w:bookmarkEnd w:id="302"/>
    <w:bookmarkStart w:name="f-10701-10701.5" w:id="304"/>
    <w:p>
      <w:pPr>
        <w:pStyle w:val="Heading4"/>
      </w:pPr>
      <w:bookmarkStart w:name="h-10701-10701.5" w:id="305"/>
      <w:r>
        <w:rPr/>
        <w:t xml:space="preserve">Manufacturer's instructions</w:t>
      </w:r>
      <w:bookmarkEnd w:id="305"/>
    </w:p>
    <w:p>
      <w:pPr>
        <w:pStyle w:val="Body Text"/>
      </w:pPr>
      <w:r>
        <w:rPr/>
        <w:t xml:space="preserve">Requirement: Conform to the recommendations of ASKIN® </w:t>
      </w:r>
      <w:r>
        <w:rPr>
          <w:i/>
        </w:rPr>
        <w:t xml:space="preserve">Coldroom Construction Guide</w:t>
      </w:r>
      <w:r>
        <w:rPr/>
        <w:t xml:space="preserve"> and construction drawings.</w:t>
      </w:r>
    </w:p>
    <w:bookmarkEnd w:id="304"/>
    <w:bookmarkStart w:name="f-10701-19" w:id="306"/>
    <w:p>
      <w:pPr>
        <w:pStyle w:val="Heading4"/>
      </w:pPr>
      <w:bookmarkStart w:name="h-10701-19" w:id="307"/>
      <w:r>
        <w:rPr/>
        <w:t xml:space="preserve">Ceiling joints over internal walls</w:t>
      </w:r>
      <w:bookmarkEnd w:id="307"/>
    </w:p>
    <w:p>
      <w:pPr>
        <w:pStyle w:val="Body Text"/>
      </w:pPr>
      <w:r>
        <w:rPr/>
        <w:t xml:space="preserve">Overlap: If ceiling panels butt join over internal wall panels, locate the ceiling joint minimum 25 mm from the face of the wall panels. Cover joints with a V crimp flashing.</w:t>
      </w:r>
    </w:p>
    <w:bookmarkEnd w:id="306"/>
    <w:bookmarkStart w:name="f-10701-10701.6" w:id="308"/>
    <w:p>
      <w:pPr>
        <w:pStyle w:val="Heading4"/>
      </w:pPr>
      <w:bookmarkStart w:name="h-10701-10701.6" w:id="309"/>
      <w:r>
        <w:rPr/>
        <w:t xml:space="preserve">Ceiling suspension</w:t>
      </w:r>
      <w:bookmarkEnd w:id="309"/>
    </w:p>
    <w:p>
      <w:pPr>
        <w:pStyle w:val="Body Text"/>
      </w:pPr>
      <w:r>
        <w:rPr/>
        <w:t xml:space="preserve">Requirement: Conform to ASKIN® standard drawings and the </w:t>
      </w:r>
      <w:r>
        <w:rPr>
          <w:i/>
        </w:rPr>
        <w:t xml:space="preserve">IPCA Code of practice (2017)</w:t>
      </w:r>
      <w:r>
        <w:rPr/>
        <w:t xml:space="preserve">.</w:t>
      </w:r>
    </w:p>
    <w:bookmarkEnd w:id="308"/>
    <w:bookmarkStart w:name="f-10701-20" w:id="310"/>
    <w:p>
      <w:pPr>
        <w:pStyle w:val="Heading3"/>
      </w:pPr>
      <w:bookmarkStart w:name="h-10701-20" w:id="311"/>
      <w:r>
        <w:rPr/>
        <w:t xml:space="preserve">HEATED FLOOR SUBBASE</w:t>
      </w:r>
      <w:bookmarkEnd w:id="311"/>
    </w:p>
    <w:bookmarkEnd w:id="310"/>
    <w:bookmarkStart w:name="f-10701-21" w:id="312"/>
    <w:p>
      <w:pPr>
        <w:pStyle w:val="Heading4"/>
      </w:pPr>
      <w:bookmarkStart w:name="h-10701-21" w:id="313"/>
      <w:r>
        <w:rPr/>
        <w:t xml:space="preserve">Heated subbase</w:t>
      </w:r>
      <w:bookmarkEnd w:id="313"/>
    </w:p>
    <w:p>
      <w:pPr>
        <w:pStyle w:val="Body Text"/>
      </w:pPr>
      <w:r>
        <w:rPr/>
        <w:t xml:space="preserve">Requirement: Provide a heated subbase incorporating a heating mat over the floor slab under cool rooms as follows:</w:t>
      </w:r>
    </w:p>
    <w:p>
      <w:pPr>
        <w:pStyle w:val="NormalIndent"/>
      </w:pPr>
      <w:r>
        <w:rPr/>
        <w:t xml:space="preserve">Under all rooms constructed on suspended floors.</w:t>
      </w:r>
    </w:p>
    <w:p>
      <w:pPr>
        <w:pStyle w:val="NormalIndent"/>
      </w:pPr>
      <w:r>
        <w:rPr/>
        <w:t xml:space="preserve">Under all rooms with an operating temperature below 0°C.</w:t>
      </w:r>
    </w:p>
    <w:bookmarkEnd w:id="312"/>
    <w:bookmarkStart w:name="f-10701-22" w:id="314"/>
    <w:p>
      <w:pPr>
        <w:pStyle w:val="Heading4"/>
      </w:pPr>
      <w:bookmarkStart w:name="h-10701-22" w:id="315"/>
      <w:r>
        <w:rPr/>
        <w:t xml:space="preserve">Heating mat</w:t>
      </w:r>
      <w:bookmarkEnd w:id="315"/>
    </w:p>
    <w:p>
      <w:pPr>
        <w:pStyle w:val="Body Text"/>
      </w:pPr>
      <w:r>
        <w:rPr/>
        <w:t xml:space="preserve">Construction: Provide a heating mat with twin overlapping circuits, each of 100% of the required heating capacity.</w:t>
      </w:r>
    </w:p>
    <w:p>
      <w:pPr>
        <w:pStyle w:val="Body Text"/>
      </w:pPr>
      <w:r>
        <w:rPr/>
        <w:t xml:space="preserve">Cables: 230 V self‑temperature regulating heating cable, factory assembled into mats each with not more than 500 mm between adjacent coils and terminating in cold tails.</w:t>
      </w:r>
    </w:p>
    <w:p>
      <w:pPr>
        <w:pStyle w:val="Body Text"/>
      </w:pPr>
      <w:r>
        <w:rPr/>
        <w:t xml:space="preserve">Output of heating mat: As documented.</w:t>
      </w:r>
    </w:p>
    <w:p>
      <w:pPr>
        <w:pStyle w:val="Instructions"/>
      </w:pPr>
      <w:r>
        <w:rPr/>
        <w:t xml:space="preserve">Heating mat output may be documented in the </w:t>
      </w:r>
      <w:r>
        <w:rPr>
          <w:b/>
        </w:rPr>
        <w:t xml:space="preserve">Cool room schedule</w:t>
      </w:r>
      <w:r>
        <w:rPr/>
        <w:t xml:space="preserve">.</w:t>
      </w:r>
    </w:p>
    <w:bookmarkEnd w:id="314"/>
    <w:bookmarkStart w:name="f-10701-23" w:id="316"/>
    <w:p>
      <w:pPr>
        <w:pStyle w:val="Heading4"/>
      </w:pPr>
      <w:bookmarkStart w:name="h-10701-23" w:id="317"/>
      <w:r>
        <w:rPr/>
        <w:t xml:space="preserve">Mat installation</w:t>
      </w:r>
      <w:bookmarkEnd w:id="317"/>
    </w:p>
    <w:p>
      <w:pPr>
        <w:pStyle w:val="Body Text"/>
      </w:pPr>
      <w:r>
        <w:rPr/>
        <w:t xml:space="preserve">Location: Lay the mats on insulated spacers at centres recommended by the manufacturer to cover the whole floor area to within 200 mm of the walls.</w:t>
      </w:r>
    </w:p>
    <w:p>
      <w:pPr>
        <w:pStyle w:val="Body Text"/>
      </w:pPr>
      <w:r>
        <w:rPr/>
        <w:t xml:space="preserve">Termination: Terminate the tails in a junction box located on the inside wall of the room.</w:t>
      </w:r>
    </w:p>
    <w:p>
      <w:pPr>
        <w:pStyle w:val="Instructions"/>
      </w:pPr>
      <w:r>
        <w:rPr/>
        <w:t xml:space="preserve">Alternatively, show location on the drawings.</w:t>
      </w:r>
    </w:p>
    <w:p>
      <w:pPr>
        <w:pStyle w:val="Body Text"/>
      </w:pPr>
      <w:r>
        <w:rPr/>
        <w:t xml:space="preserve">Screed: Embed the heating mats in a 1:3 cement: sand screed to provide minimum 25 mm cover. Provide a smooth level surface finish, free of loose material and projections, suitable for receiving the vapour barrier membrane.</w:t>
      </w:r>
    </w:p>
    <w:bookmarkEnd w:id="316"/>
    <w:bookmarkStart w:name="f-10701-24" w:id="318"/>
    <w:p>
      <w:pPr>
        <w:pStyle w:val="Heading4"/>
      </w:pPr>
      <w:bookmarkStart w:name="h-10701-24" w:id="319"/>
      <w:r>
        <w:rPr/>
        <w:t xml:space="preserve">Testing</w:t>
      </w:r>
      <w:bookmarkEnd w:id="319"/>
    </w:p>
    <w:p>
      <w:pPr>
        <w:pStyle w:val="Body Text"/>
      </w:pPr>
      <w:r>
        <w:rPr/>
        <w:t xml:space="preserve">Continuity: Test the heating mat cables for electrical continuity:</w:t>
      </w:r>
    </w:p>
    <w:p>
      <w:pPr>
        <w:pStyle w:val="NormalIndent"/>
      </w:pPr>
      <w:r>
        <w:rPr/>
        <w:t xml:space="preserve">Before laying the screed.</w:t>
      </w:r>
    </w:p>
    <w:p>
      <w:pPr>
        <w:pStyle w:val="NormalIndent"/>
      </w:pPr>
      <w:r>
        <w:rPr/>
        <w:t xml:space="preserve">Continuously during the laying process and for the following 24 hours.</w:t>
      </w:r>
    </w:p>
    <w:p>
      <w:pPr>
        <w:pStyle w:val="Body Text"/>
      </w:pPr>
      <w:r>
        <w:rPr/>
        <w:t xml:space="preserve">Method: Use a continuity warning device temporarily connected to the circuits during this period.</w:t>
      </w:r>
    </w:p>
    <w:bookmarkEnd w:id="318"/>
    <w:bookmarkStart w:name="f-10701-25" w:id="320"/>
    <w:p>
      <w:pPr>
        <w:pStyle w:val="Heading4"/>
      </w:pPr>
      <w:bookmarkStart w:name="h-10701-25" w:id="321"/>
      <w:r>
        <w:rPr/>
        <w:t xml:space="preserve">Tanking</w:t>
      </w:r>
      <w:bookmarkEnd w:id="321"/>
    </w:p>
    <w:p>
      <w:pPr>
        <w:pStyle w:val="Body Text"/>
      </w:pPr>
      <w:r>
        <w:rPr/>
        <w:t xml:space="preserve">Requirement: Provide bituminous sheeting over the subbase or subfloor and sides of a rebated floor. Lap all joints 150 mm. Install to the manufacturer's recommendations.</w:t>
      </w:r>
    </w:p>
    <w:p>
      <w:pPr>
        <w:pStyle w:val="Instructions"/>
      </w:pPr>
      <w:r>
        <w:rPr/>
        <w:t xml:space="preserve">If required, include in the </w:t>
      </w:r>
      <w:r>
        <w:rPr>
          <w:b/>
        </w:rPr>
        <w:t xml:space="preserve">Cool room schedule</w:t>
      </w:r>
      <w:r>
        <w:rPr/>
        <w:t xml:space="preserve"> or show on the drawings.</w:t>
      </w:r>
    </w:p>
    <w:bookmarkEnd w:id="320"/>
    <w:bookmarkStart w:name="f-10701-26" w:id="322"/>
    <w:p>
      <w:pPr>
        <w:pStyle w:val="Heading3"/>
      </w:pPr>
      <w:bookmarkStart w:name="h-10701-26" w:id="323"/>
      <w:r>
        <w:rPr/>
        <w:t xml:space="preserve">FLOOR VAPOUR BARRIER MEMBRANE</w:t>
      </w:r>
      <w:bookmarkEnd w:id="323"/>
    </w:p>
    <w:bookmarkEnd w:id="322"/>
    <w:bookmarkStart w:name="f-10701-27" w:id="324"/>
    <w:p>
      <w:pPr>
        <w:pStyle w:val="Heading4"/>
      </w:pPr>
      <w:bookmarkStart w:name="h-10701-27" w:id="325"/>
      <w:r>
        <w:rPr/>
        <w:t xml:space="preserve">General</w:t>
      </w:r>
      <w:bookmarkEnd w:id="325"/>
    </w:p>
    <w:p>
      <w:pPr>
        <w:pStyle w:val="Body Text"/>
      </w:pPr>
      <w:r>
        <w:rPr/>
        <w:t xml:space="preserve">Material: Polyethylene film branded continuously:</w:t>
      </w:r>
    </w:p>
    <w:p>
      <w:pPr>
        <w:pStyle w:val="NormalIndent"/>
      </w:pPr>
      <w:r>
        <w:rPr/>
        <w:t xml:space="preserve">AS 2870 (2011) CONCRETE UNDERLAY 0.2 mm HIGH IMPACT RESISTANCE.</w:t>
      </w:r>
    </w:p>
    <w:bookmarkEnd w:id="324"/>
    <w:bookmarkStart w:name="f-10701-28" w:id="326"/>
    <w:p>
      <w:pPr>
        <w:pStyle w:val="Heading4"/>
      </w:pPr>
      <w:bookmarkStart w:name="h-10701-28" w:id="327"/>
      <w:r>
        <w:rPr/>
        <w:t xml:space="preserve">Installation</w:t>
      </w:r>
      <w:bookmarkEnd w:id="327"/>
    </w:p>
    <w:p>
      <w:pPr>
        <w:pStyle w:val="Body Text"/>
      </w:pPr>
      <w:r>
        <w:rPr/>
        <w:t xml:space="preserve">General: Install as follows:</w:t>
      </w:r>
    </w:p>
    <w:p>
      <w:pPr>
        <w:pStyle w:val="NormalIndent"/>
      </w:pPr>
      <w:r>
        <w:rPr/>
        <w:t xml:space="preserve">Lay over the base, lap joints at least 200 mm and seal the laps and penetrations with non‑hardening mastic sealant spread in a continuous strip 75 mm wide.</w:t>
      </w:r>
    </w:p>
    <w:p>
      <w:pPr>
        <w:pStyle w:val="NormalIndent"/>
      </w:pPr>
      <w:r>
        <w:rPr/>
        <w:t xml:space="preserve">Tape over joints with polyethylene pressure‑sensitive adhesive tape, applied without wrinkles. Face the laps away from the direction of concrete pour.</w:t>
      </w:r>
    </w:p>
    <w:p>
      <w:pPr>
        <w:pStyle w:val="NormalIndent"/>
      </w:pPr>
      <w:r>
        <w:rPr/>
        <w:t xml:space="preserve">Patch or seal punctures or tears before pouring concrete. Cut back excess polyethylene film not required as a vapour barrier after concrete has gained strength and forms have been removed.</w:t>
      </w:r>
    </w:p>
    <w:p>
      <w:pPr>
        <w:pStyle w:val="Body Text"/>
      </w:pPr>
      <w:r>
        <w:rPr/>
        <w:t xml:space="preserve">Base preparation: Remove projections above the plane surface and loose material.</w:t>
      </w:r>
    </w:p>
    <w:p>
      <w:pPr>
        <w:pStyle w:val="Body Text"/>
      </w:pPr>
      <w:r>
        <w:rPr/>
        <w:t xml:space="preserve">Locating section: Fix over the vapour barrier membrane, extruded aluminium angles mitred at the corners to form a locating frame for positioning the walls of the cool room. Fix the locating frame by securing to the subfloor using masonry anchors. Vapour seal the fastener penetration with sealant before inserting the fastener.</w:t>
      </w:r>
    </w:p>
    <w:p>
      <w:pPr>
        <w:pStyle w:val="Body Text"/>
      </w:pPr>
      <w:r>
        <w:rPr/>
        <w:t xml:space="preserve">Vapour seal: Apply continuous mastic sealant between the locating section and vapour barrier membrane and between the locating section and the wall panels.</w:t>
      </w:r>
    </w:p>
    <w:bookmarkEnd w:id="326"/>
    <w:bookmarkStart w:name="f-10701-29" w:id="328"/>
    <w:p>
      <w:pPr>
        <w:pStyle w:val="Heading3"/>
      </w:pPr>
      <w:bookmarkStart w:name="h-10701-29" w:id="329"/>
      <w:r>
        <w:rPr/>
        <w:t xml:space="preserve">FLOOR INSULATION</w:t>
      </w:r>
      <w:bookmarkEnd w:id="329"/>
    </w:p>
    <w:bookmarkEnd w:id="328"/>
    <w:bookmarkStart w:name="f-10701-30" w:id="330"/>
    <w:p>
      <w:pPr>
        <w:pStyle w:val="Heading4"/>
      </w:pPr>
      <w:bookmarkStart w:name="h-10701-30" w:id="331"/>
      <w:r>
        <w:rPr/>
        <w:t xml:space="preserve">Insulation</w:t>
      </w:r>
      <w:bookmarkEnd w:id="331"/>
    </w:p>
    <w:p>
      <w:pPr>
        <w:pStyle w:val="Body Text"/>
      </w:pPr>
      <w:r>
        <w:rPr/>
        <w:t xml:space="preserve">Insulation thickness: Same as documented for walls and ceilings.</w:t>
      </w:r>
    </w:p>
    <w:p>
      <w:pPr>
        <w:pStyle w:val="Instructions"/>
      </w:pPr>
      <w:r>
        <w:rPr/>
        <w:t xml:space="preserve">This may be documented in the </w:t>
      </w:r>
      <w:r>
        <w:rPr>
          <w:b/>
        </w:rPr>
        <w:t xml:space="preserve">Cool room schedule</w:t>
      </w:r>
      <w:r>
        <w:rPr/>
        <w:t xml:space="preserve">.</w:t>
      </w:r>
    </w:p>
    <w:bookmarkEnd w:id="330"/>
    <w:bookmarkStart w:name="f-10701-31" w:id="332"/>
    <w:p>
      <w:pPr>
        <w:pStyle w:val="Heading4"/>
      </w:pPr>
      <w:bookmarkStart w:name="h-10701-31" w:id="333"/>
      <w:r>
        <w:rPr/>
        <w:t xml:space="preserve">Concrete wearing surface</w:t>
      </w:r>
      <w:bookmarkEnd w:id="333"/>
    </w:p>
    <w:p>
      <w:pPr>
        <w:pStyle w:val="Body Text"/>
      </w:pPr>
      <w:r>
        <w:rPr/>
        <w:t xml:space="preserve">Floors with a concrete wearing surface: Lay rigid cellular ASKIN® Polystyrene FR sheet insulation to AS 1366.3 (1992) over the whole of the internal floor area tightly fitted without gaps immediately above the vapour barrier membrane. Lay the insulation boards in two equal thickness layers using ship‑lapped joints.</w:t>
      </w:r>
    </w:p>
    <w:p>
      <w:pPr>
        <w:pStyle w:val="Body Text"/>
      </w:pPr>
      <w:r>
        <w:rPr/>
        <w:t xml:space="preserve">Insulation thickness:</w:t>
      </w:r>
    </w:p>
    <w:p>
      <w:pPr>
        <w:pStyle w:val="NormalIndent"/>
      </w:pPr>
      <w:r>
        <w:rPr/>
        <w:t xml:space="preserve">Room operating temperature &gt; 0°C: ≥ 75 mm on suspended slab (1 layer 75 mm).</w:t>
      </w:r>
    </w:p>
    <w:p>
      <w:pPr>
        <w:pStyle w:val="NormalIndent"/>
      </w:pPr>
      <w:r>
        <w:rPr/>
        <w:t xml:space="preserve">Room operating temperature ≤ 0°C: ≥ 150 mm (2 layers each 75 mm).</w:t>
      </w:r>
    </w:p>
    <w:bookmarkEnd w:id="332"/>
    <w:bookmarkStart w:name="f-10701-32" w:id="334"/>
    <w:p>
      <w:pPr>
        <w:pStyle w:val="Heading4"/>
      </w:pPr>
      <w:bookmarkStart w:name="h-10701-32" w:id="335"/>
      <w:r>
        <w:rPr/>
        <w:t xml:space="preserve">Aluminium chequer plate or seamless vinyl wearing surface</w:t>
      </w:r>
      <w:bookmarkEnd w:id="335"/>
    </w:p>
    <w:p>
      <w:pPr>
        <w:pStyle w:val="Body Text"/>
      </w:pPr>
      <w:r>
        <w:rPr/>
        <w:t xml:space="preserve">Floors with an aluminium chequer plate or seamless vinyl wearing surface: Provide floor insulation in the form of prefabricated panels to </w:t>
      </w:r>
      <w:r>
        <w:rPr>
          <w:b/>
        </w:rPr>
        <w:t xml:space="preserve">ASKIN® XFLAM PERFORMANCE PANELS</w:t>
      </w:r>
      <w:r>
        <w:rPr/>
        <w:t xml:space="preserve">, bonded to the wearing surface. Lay panels immediately above the vapour barrier membrane and tightly fitted without gaps.</w:t>
      </w:r>
    </w:p>
    <w:p>
      <w:pPr>
        <w:pStyle w:val="Instructions"/>
      </w:pPr>
      <w:r>
        <w:rPr/>
        <w:t xml:space="preserve">Aluminium and plywood are not generally suitable for rooms below freezing.</w:t>
      </w:r>
    </w:p>
    <w:bookmarkEnd w:id="334"/>
    <w:bookmarkStart w:name="f-10701-33" w:id="336"/>
    <w:p>
      <w:pPr>
        <w:pStyle w:val="Heading3"/>
      </w:pPr>
      <w:bookmarkStart w:name="h-10701-33" w:id="337"/>
      <w:r>
        <w:rPr/>
        <w:t xml:space="preserve">RECESSED COOL ROOM FLOORS</w:t>
      </w:r>
      <w:bookmarkEnd w:id="337"/>
    </w:p>
    <w:bookmarkEnd w:id="336"/>
    <w:bookmarkStart w:name="f-10701-34" w:id="338"/>
    <w:p>
      <w:pPr>
        <w:pStyle w:val="Heading4"/>
      </w:pPr>
      <w:bookmarkStart w:name="h-10701-34" w:id="339"/>
      <w:r>
        <w:rPr/>
        <w:t xml:space="preserve">General</w:t>
      </w:r>
      <w:bookmarkEnd w:id="339"/>
    </w:p>
    <w:p>
      <w:pPr>
        <w:pStyle w:val="Body Text"/>
      </w:pPr>
      <w:r>
        <w:rPr/>
        <w:t xml:space="preserve">Grout: If the installation of wall panels within the set‑down for a recessed cool room floor results in a space between the vertical face of the set‑down and the wall panels, grout the space between the two to finish level with the floor.</w:t>
      </w:r>
    </w:p>
    <w:bookmarkEnd w:id="338"/>
    <w:bookmarkStart w:name="f-10701-35" w:id="340"/>
    <w:p>
      <w:pPr>
        <w:pStyle w:val="Heading3"/>
      </w:pPr>
      <w:bookmarkStart w:name="h-10701-35" w:id="341"/>
      <w:r>
        <w:rPr/>
        <w:t xml:space="preserve">WATERPROOF MEMBRANE</w:t>
      </w:r>
      <w:bookmarkEnd w:id="341"/>
    </w:p>
    <w:bookmarkEnd w:id="340"/>
    <w:bookmarkStart w:name="f-10701-36" w:id="342"/>
    <w:p>
      <w:pPr>
        <w:pStyle w:val="Heading4"/>
      </w:pPr>
      <w:bookmarkStart w:name="h-10701-36" w:id="343"/>
      <w:r>
        <w:rPr/>
        <w:t xml:space="preserve">General</w:t>
      </w:r>
      <w:bookmarkEnd w:id="343"/>
    </w:p>
    <w:p>
      <w:pPr>
        <w:pStyle w:val="Body Text"/>
      </w:pPr>
      <w:r>
        <w:rPr/>
        <w:t xml:space="preserve">Membrane and sealing: Conform to </w:t>
      </w:r>
      <w:r>
        <w:rPr>
          <w:b/>
        </w:rPr>
        <w:t xml:space="preserve">FLOOR VAPOUR BARRIER MEMBRANE</w:t>
      </w:r>
      <w:r>
        <w:rPr/>
        <w:t xml:space="preserve">.</w:t>
      </w:r>
    </w:p>
    <w:p>
      <w:pPr>
        <w:pStyle w:val="Body Text"/>
      </w:pPr>
      <w:r>
        <w:rPr/>
        <w:t xml:space="preserve">Installation: Lay the membrane over the floor insulation with 150 mm overlaps at the joints. Turn the edges up against the wall inner skin, to the lesser of a height of 50 mm or the top of the cove moulding.</w:t>
      </w:r>
    </w:p>
    <w:bookmarkEnd w:id="342"/>
    <w:bookmarkStart w:name="f-10701-37" w:id="344"/>
    <w:p>
      <w:pPr>
        <w:pStyle w:val="Heading3"/>
      </w:pPr>
      <w:bookmarkStart w:name="h-10701-37" w:id="345"/>
      <w:r>
        <w:rPr/>
        <w:t xml:space="preserve">FLOOR WEARING SURFACE</w:t>
      </w:r>
      <w:bookmarkEnd w:id="345"/>
    </w:p>
    <w:bookmarkEnd w:id="344"/>
    <w:bookmarkStart w:name="f-10701-38" w:id="346"/>
    <w:p>
      <w:pPr>
        <w:pStyle w:val="Heading4"/>
      </w:pPr>
      <w:bookmarkStart w:name="h-10701-38" w:id="347"/>
      <w:r>
        <w:rPr/>
        <w:t xml:space="preserve">General</w:t>
      </w:r>
      <w:bookmarkEnd w:id="347"/>
    </w:p>
    <w:p>
      <w:pPr>
        <w:pStyle w:val="Body Text"/>
      </w:pPr>
      <w:r>
        <w:rPr/>
        <w:t xml:space="preserve">Requirement: Provide a wearing surface:</w:t>
      </w:r>
    </w:p>
    <w:p>
      <w:pPr>
        <w:pStyle w:val="NormalIndent"/>
      </w:pPr>
      <w:r>
        <w:rPr/>
        <w:t xml:space="preserve">To accept the floor in‑service loads without damage to the floor insulation.</w:t>
      </w:r>
    </w:p>
    <w:p>
      <w:pPr>
        <w:pStyle w:val="NormalIndent"/>
      </w:pPr>
      <w:r>
        <w:rPr/>
        <w:t xml:space="preserve">With a hard wearing surface finish.</w:t>
      </w:r>
    </w:p>
    <w:p>
      <w:pPr>
        <w:pStyle w:val="Instructions"/>
      </w:pPr>
      <w:r>
        <w:rPr/>
        <w:t xml:space="preserve">Include the wearing surface type in the </w:t>
      </w:r>
      <w:r>
        <w:rPr>
          <w:b/>
        </w:rPr>
        <w:t xml:space="preserve">Cool room schedule</w:t>
      </w:r>
      <w:r>
        <w:rPr/>
        <w:t xml:space="preserve"> or show on the drawings.</w:t>
      </w:r>
    </w:p>
    <w:p>
      <w:pPr>
        <w:pStyle w:val="Body Text"/>
      </w:pPr>
      <w:r>
        <w:rPr/>
        <w:t xml:space="preserve">Grading: Grade the surface to doorway.</w:t>
      </w:r>
    </w:p>
    <w:p>
      <w:pPr>
        <w:pStyle w:val="Body Text"/>
      </w:pPr>
      <w:r>
        <w:rPr/>
        <w:t xml:space="preserve">Cool rooms for food storage: To AS 4674 (2004) Section 3.</w:t>
      </w:r>
    </w:p>
    <w:p>
      <w:pPr>
        <w:pStyle w:val="Instructions"/>
      </w:pPr>
      <w:r>
        <w:rPr/>
        <w:t xml:space="preserve">AS 4674 (2004) Table 3.1 includes acceptable floor finishes. AS 4674 (2004) Section 3 includes acceptable coving and prohibits feather edge skirting.</w:t>
      </w:r>
    </w:p>
    <w:bookmarkEnd w:id="346"/>
    <w:bookmarkStart w:name="f-10701-39" w:id="348"/>
    <w:p>
      <w:pPr>
        <w:pStyle w:val="Heading4"/>
      </w:pPr>
      <w:bookmarkStart w:name="h-10701-39" w:id="349"/>
      <w:r>
        <w:rPr/>
        <w:t xml:space="preserve">Concrete wearing surface</w:t>
      </w:r>
      <w:bookmarkEnd w:id="349"/>
    </w:p>
    <w:p>
      <w:pPr>
        <w:pStyle w:val="Body Text"/>
      </w:pPr>
      <w:r>
        <w:rPr/>
        <w:t xml:space="preserve">Construction: Provide a concrete slab reinforced with to SL72 mesh conforming to AS/NZS 4671 (2019). Locate the mesh to provide a top cover of 25 mm, using reinforcement chairs.</w:t>
      </w:r>
    </w:p>
    <w:p>
      <w:pPr>
        <w:pStyle w:val="Instructions"/>
      </w:pPr>
      <w:r>
        <w:rPr/>
        <w:t xml:space="preserve">AS 4674 (2004) Section 3 requires steel trowelled concrete surfaces treated with a surface hardener in cool rooms for food storage. Edit the </w:t>
      </w:r>
      <w:r>
        <w:rPr>
          <w:b/>
        </w:rPr>
        <w:t xml:space="preserve">Concrete wearing surface</w:t>
      </w:r>
      <w:r>
        <w:rPr/>
        <w:t xml:space="preserve"> subclause to suit the project.</w:t>
      </w:r>
    </w:p>
    <w:p>
      <w:pPr>
        <w:pStyle w:val="Body Text"/>
      </w:pPr>
      <w:r>
        <w:rPr/>
        <w:t xml:space="preserve">Coving: Provide a 75 mm radius cove in the concrete at the junction between the wearing surface and the wall inner skin. Finish the cove under an aluminium coving angle. Seal gaps to </w:t>
      </w:r>
      <w:r>
        <w:rPr>
          <w:b/>
        </w:rPr>
        <w:t xml:space="preserve">SEALING</w:t>
      </w:r>
      <w:r>
        <w:rPr/>
        <w:t xml:space="preserve">.</w:t>
      </w:r>
    </w:p>
    <w:p>
      <w:pPr>
        <w:pStyle w:val="Body Text"/>
      </w:pPr>
      <w:r>
        <w:rPr/>
        <w:t xml:space="preserve">Concrete strength: 40 MPa.</w:t>
      </w:r>
    </w:p>
    <w:p>
      <w:pPr>
        <w:pStyle w:val="Body Text"/>
      </w:pPr>
      <w:r>
        <w:rPr/>
        <w:t xml:space="preserve">Entrained air: If the room operating temperature is not more than 0°C, conform to AS 3600 (2018) clause 4.7.</w:t>
      </w:r>
    </w:p>
    <w:p>
      <w:pPr>
        <w:pStyle w:val="Instructions"/>
      </w:pPr>
      <w:r>
        <w:rPr/>
        <w:t xml:space="preserve">For 10 mm aggregate and concrete subject to freezing, AS 3600 (2018) clause 4.7 limits the percentage of entrained air to between 4% and 8%.</w:t>
      </w:r>
    </w:p>
    <w:p>
      <w:pPr>
        <w:pStyle w:val="Body Text"/>
      </w:pPr>
      <w:r>
        <w:rPr/>
        <w:t xml:space="preserve">Maximum aggregate size: 10 mm.</w:t>
      </w:r>
    </w:p>
    <w:p>
      <w:pPr>
        <w:pStyle w:val="Body Text"/>
      </w:pPr>
      <w:r>
        <w:rPr/>
        <w:t xml:space="preserve">Slab thickness: ≥ 75 mm.</w:t>
      </w:r>
    </w:p>
    <w:p>
      <w:pPr>
        <w:pStyle w:val="Instructions"/>
      </w:pPr>
      <w:r>
        <w:rPr/>
        <w:t xml:space="preserve">This thickness should allow for falls (not less than 1:100 in AS 4674 (2004)).</w:t>
      </w:r>
    </w:p>
    <w:p>
      <w:pPr>
        <w:pStyle w:val="Body Text"/>
      </w:pPr>
      <w:r>
        <w:rPr/>
        <w:t xml:space="preserve">Finish: Provide a finish to the concrete conforming to the following:</w:t>
      </w:r>
    </w:p>
    <w:p>
      <w:pPr>
        <w:pStyle w:val="NormalIndent"/>
      </w:pPr>
      <w:r>
        <w:rPr/>
        <w:t xml:space="preserve">As laid concrete: Finish the concrete surface in a slip‑resistant finish by trowelling silicon carbide or aluminium oxide grains into the surface.</w:t>
      </w:r>
    </w:p>
    <w:p>
      <w:pPr>
        <w:pStyle w:val="NormalIndent"/>
      </w:pPr>
      <w:r>
        <w:rPr/>
        <w:t xml:space="preserve">Epoxy coating: Apply a 3 mm thick slip‑resistant epoxy coating to the floated concrete surface.</w:t>
      </w:r>
    </w:p>
    <w:p>
      <w:pPr>
        <w:pStyle w:val="NormalIndent"/>
      </w:pPr>
      <w:r>
        <w:rPr/>
        <w:t xml:space="preserve">Steel tiles: Bed and grout steel tiles to the concrete surface.</w:t>
      </w:r>
    </w:p>
    <w:p>
      <w:pPr>
        <w:pStyle w:val="NormalIndent"/>
      </w:pPr>
      <w:r>
        <w:rPr/>
        <w:t xml:space="preserve">Ceramic tiles: Selected slip‑resistant, fully vitrified ceramic tiles. Bed and grout to the concrete surface.</w:t>
      </w:r>
    </w:p>
    <w:bookmarkEnd w:id="348"/>
    <w:bookmarkStart w:name="f-10701-40" w:id="350"/>
    <w:p>
      <w:pPr>
        <w:pStyle w:val="Heading4"/>
      </w:pPr>
      <w:bookmarkStart w:name="h-10701-40" w:id="351"/>
      <w:r>
        <w:rPr/>
        <w:t xml:space="preserve">Aluminium chequer plate wearing surface</w:t>
      </w:r>
      <w:bookmarkEnd w:id="351"/>
    </w:p>
    <w:p>
      <w:pPr>
        <w:pStyle w:val="Body Text"/>
      </w:pPr>
      <w:r>
        <w:rPr/>
        <w:t xml:space="preserve">Construction: Bond 20 mm thick marine plywood to AS/NZS 2272 (2006), formaldehyde emission class E</w:t>
      </w:r>
      <w:r>
        <w:rPr>
          <w:vertAlign w:val="subscript"/>
        </w:rPr>
        <w:t xml:space="preserve">1</w:t>
      </w:r>
      <w:r>
        <w:rPr/>
        <w:t xml:space="preserve"> or lower, over the whole surface area to the floor insulation metal skin. Bond 2.5 mm thick aluminium chequer plate to the whole surface area of the plywood with a flexible and durable adhesive recommended by the manufacturer for this application. Extend aluminium plate into the door threshold.</w:t>
      </w:r>
    </w:p>
    <w:p>
      <w:pPr>
        <w:pStyle w:val="Instructions"/>
      </w:pPr>
      <w:r>
        <w:rPr/>
        <w:t xml:space="preserve">A formaldehyde emission class E</w:t>
      </w:r>
      <w:r>
        <w:rPr>
          <w:vertAlign w:val="subscript"/>
        </w:rPr>
        <w:t xml:space="preserve">1</w:t>
      </w:r>
      <w:r>
        <w:rPr/>
        <w:t xml:space="preserve"> or less can improve indoor air quality.</w:t>
      </w:r>
    </w:p>
    <w:p>
      <w:pPr>
        <w:pStyle w:val="Body Text"/>
      </w:pPr>
      <w:r>
        <w:rPr/>
        <w:t xml:space="preserve">Joints: Locate aluminium plate joints to overlap the joints in the marine plywood by minimum 50 mm. Fix aluminium plate joints to the marine ply with countersunk head stainless steel screws and seal with sealant.</w:t>
      </w:r>
    </w:p>
    <w:p>
      <w:pPr>
        <w:pStyle w:val="Body Text"/>
      </w:pPr>
      <w:r>
        <w:rPr/>
        <w:t xml:space="preserve">Coving: Provide an extruded aluminium cove moulding, minimum 25 mm radius, at the junction between the wearing surface and the wall inner skin. Seal gaps to </w:t>
      </w:r>
      <w:r>
        <w:rPr>
          <w:b/>
        </w:rPr>
        <w:t xml:space="preserve">SEALING</w:t>
      </w:r>
      <w:r>
        <w:rPr/>
        <w:t xml:space="preserve">.</w:t>
      </w:r>
    </w:p>
    <w:p>
      <w:pPr>
        <w:pStyle w:val="Instructions"/>
      </w:pPr>
      <w:r>
        <w:rPr/>
        <w:t xml:space="preserve">Consider aluminium chequer plate for cool rooms if the floors will be subject to a significant abuse, such as kegs being rolled and dropped often. Stainless steel is another option but is far less common because of its significantly greater expense. Aluminium chequer plate is an alternative to metal tiles that were previously used for such applications.</w:t>
      </w:r>
    </w:p>
    <w:bookmarkEnd w:id="350"/>
    <w:bookmarkStart w:name="f-10701-42" w:id="352"/>
    <w:p>
      <w:pPr>
        <w:pStyle w:val="Heading4"/>
      </w:pPr>
      <w:bookmarkStart w:name="h-10701-42" w:id="353"/>
      <w:r>
        <w:rPr/>
        <w:t xml:space="preserve">Seamless vinyl wearing surface</w:t>
      </w:r>
      <w:bookmarkEnd w:id="353"/>
    </w:p>
    <w:p>
      <w:pPr>
        <w:pStyle w:val="Body Text"/>
      </w:pPr>
      <w:r>
        <w:rPr/>
        <w:t xml:space="preserve">Requirement: Provide a seamless vinyl wearing surface over concrete or marine plywood, as documented.</w:t>
      </w:r>
    </w:p>
    <w:p>
      <w:pPr>
        <w:pStyle w:val="Body Text"/>
      </w:pPr>
      <w:r>
        <w:rPr/>
        <w:t xml:space="preserve">Construction: Install to seamless vinyl manufacturer's recommendations for cool room application.</w:t>
      </w:r>
    </w:p>
    <w:p>
      <w:pPr>
        <w:pStyle w:val="Body Text"/>
      </w:pPr>
      <w:r>
        <w:rPr/>
        <w:t xml:space="preserve">Coving: Provide a 25 mm radius cove moulding. Run vinyl cove to minimum 75 mm on wall above the floor.</w:t>
      </w:r>
    </w:p>
    <w:p>
      <w:pPr>
        <w:pStyle w:val="Instructions"/>
      </w:pPr>
      <w:r>
        <w:rPr/>
        <w:t xml:space="preserve">Document floor finish in the </w:t>
      </w:r>
      <w:r>
        <w:rPr>
          <w:b/>
        </w:rPr>
        <w:t xml:space="preserve">Cool room schedule</w:t>
      </w:r>
      <w:r>
        <w:rPr/>
        <w:t xml:space="preserve"> or on the drawings.</w:t>
      </w:r>
    </w:p>
    <w:bookmarkEnd w:id="352"/>
    <w:bookmarkStart w:name="f-10701-43" w:id="354"/>
    <w:p>
      <w:pPr>
        <w:pStyle w:val="Heading3"/>
      </w:pPr>
      <w:bookmarkStart w:name="h-10701-43" w:id="355"/>
      <w:r>
        <w:rPr/>
        <w:t xml:space="preserve">REFRIGERANT PLANT</w:t>
      </w:r>
      <w:bookmarkEnd w:id="355"/>
    </w:p>
    <w:bookmarkEnd w:id="354"/>
    <w:bookmarkStart w:name="f-10701-44" w:id="356"/>
    <w:p>
      <w:pPr>
        <w:pStyle w:val="Heading4"/>
      </w:pPr>
      <w:bookmarkStart w:name="h-10701-44" w:id="357"/>
      <w:r>
        <w:rPr/>
        <w:t xml:space="preserve">General</w:t>
      </w:r>
      <w:bookmarkEnd w:id="357"/>
    </w:p>
    <w:p>
      <w:pPr>
        <w:pStyle w:val="Body Text"/>
      </w:pPr>
      <w:r>
        <w:rPr/>
        <w:t xml:space="preserve">Access for maintenance: To </w:t>
      </w:r>
      <w:r>
        <w:rPr>
          <w:b/>
        </w:rPr>
        <w:t xml:space="preserve">ACCESS FOR MAINTENANCE</w:t>
      </w:r>
      <w:r>
        <w:rPr/>
        <w:t xml:space="preserve"> in </w:t>
      </w:r>
      <w:r>
        <w:rPr>
          <w:i/>
        </w:rPr>
        <w:t xml:space="preserve">0171 General requirements</w:t>
      </w:r>
      <w:r>
        <w:rPr/>
        <w:t xml:space="preserve">.</w:t>
      </w:r>
    </w:p>
    <w:p>
      <w:pPr>
        <w:pStyle w:val="Body Text"/>
      </w:pPr>
      <w:r>
        <w:rPr/>
        <w:t xml:space="preserve">Vibration suppression: To </w:t>
      </w:r>
      <w:r>
        <w:rPr>
          <w:b/>
        </w:rPr>
        <w:t xml:space="preserve">VIBRATION SUPPRESSION</w:t>
      </w:r>
      <w:r>
        <w:rPr/>
        <w:t xml:space="preserve"> in </w:t>
      </w:r>
      <w:r>
        <w:rPr>
          <w:i/>
        </w:rPr>
        <w:t xml:space="preserve">0171 General requirements</w:t>
      </w:r>
      <w:r>
        <w:rPr/>
        <w:t xml:space="preserve">.</w:t>
      </w:r>
    </w:p>
    <w:bookmarkEnd w:id="356"/>
    <w:bookmarkStart w:name="f-10701-45" w:id="358"/>
    <w:p>
      <w:pPr>
        <w:pStyle w:val="Heading4"/>
      </w:pPr>
      <w:bookmarkStart w:name="h-10701-45" w:id="359"/>
      <w:r>
        <w:rPr/>
        <w:t xml:space="preserve">Evaporators</w:t>
      </w:r>
      <w:bookmarkEnd w:id="359"/>
    </w:p>
    <w:p>
      <w:pPr>
        <w:pStyle w:val="Body Text"/>
      </w:pPr>
      <w:r>
        <w:rPr/>
        <w:t xml:space="preserve">Location: To the recommendations of AIRAH DA12 (2020).</w:t>
      </w:r>
    </w:p>
    <w:p>
      <w:pPr>
        <w:pStyle w:val="Body Text"/>
      </w:pPr>
      <w:r>
        <w:rPr/>
        <w:t xml:space="preserve">Mounting: Mount the evaporator below the cool room ceiling, with 450 mm between the cool room wall and the rear of the evaporator and at least 2100 mm clearance under.</w:t>
      </w:r>
    </w:p>
    <w:p>
      <w:pPr>
        <w:pStyle w:val="Body Text"/>
      </w:pPr>
      <w:r>
        <w:rPr/>
        <w:t xml:space="preserve">Support: Suspend the unit from cold‑rolled metallic‑coated steel bearers mounted above the cool room. Extend the bearers to the cool room walls and size to suit the load and span.</w:t>
      </w:r>
    </w:p>
    <w:p>
      <w:pPr>
        <w:pStyle w:val="Body Text"/>
      </w:pPr>
      <w:r>
        <w:rPr/>
        <w:t xml:space="preserve">Hardware: Nylon or stainless steel to suit the load.</w:t>
      </w:r>
    </w:p>
    <w:bookmarkEnd w:id="358"/>
    <w:bookmarkStart w:name="f-10701-46" w:id="360"/>
    <w:p>
      <w:pPr>
        <w:pStyle w:val="Heading4"/>
      </w:pPr>
      <w:bookmarkStart w:name="h-10701-46" w:id="361"/>
      <w:r>
        <w:rPr/>
        <w:t xml:space="preserve">Condensing units</w:t>
      </w:r>
      <w:bookmarkEnd w:id="361"/>
    </w:p>
    <w:p>
      <w:pPr>
        <w:pStyle w:val="Body Text"/>
      </w:pPr>
      <w:r>
        <w:rPr/>
        <w:t xml:space="preserve">Location: To the recommendations of AIRAH DA12 (2020).</w:t>
      </w:r>
    </w:p>
    <w:p>
      <w:pPr>
        <w:pStyle w:val="Body Text"/>
      </w:pPr>
      <w:r>
        <w:rPr/>
        <w:t xml:space="preserve">Vibration isolation: Mount each condensing unit on 4 vibration isolators.</w:t>
      </w:r>
    </w:p>
    <w:p>
      <w:pPr>
        <w:pStyle w:val="Body Text"/>
      </w:pPr>
      <w:r>
        <w:rPr/>
        <w:t xml:space="preserve">Support: Support condensing units on either a concrete plinth or hot dip galvanized steel frame securely fixed to the wall, floor or slab above using anchor bolts.</w:t>
      </w:r>
    </w:p>
    <w:p>
      <w:pPr>
        <w:pStyle w:val="Body Text"/>
      </w:pPr>
      <w:r>
        <w:rPr/>
        <w:t xml:space="preserve">Arrangement: Provide clearance around units for condenser airflow and maintenance access. Make sure discharge air does not short‑circuit to condenser intake.</w:t>
      </w:r>
    </w:p>
    <w:p>
      <w:pPr>
        <w:pStyle w:val="Instructions"/>
      </w:pPr>
      <w:r>
        <w:rPr/>
        <w:t xml:space="preserve">Alternatively adjust outdoor coil air entering temperature to compensate for elevated air temperature due to recirculation.</w:t>
      </w:r>
    </w:p>
    <w:p>
      <w:pPr>
        <w:pStyle w:val="Body Text"/>
      </w:pPr>
      <w:r>
        <w:rPr/>
        <w:t xml:space="preserve">Plinths: If located on grassed or similar permeable surfaces, provide concrete plinths under outdoor equipment.</w:t>
      </w:r>
    </w:p>
    <w:p>
      <w:pPr>
        <w:pStyle w:val="Instructions"/>
      </w:pPr>
      <w:r>
        <w:rPr/>
        <w:t xml:space="preserve">For plinths, see </w:t>
      </w:r>
      <w:r>
        <w:rPr>
          <w:i/>
        </w:rPr>
        <w:t xml:space="preserve">0171 General requirements</w:t>
      </w:r>
      <w:r>
        <w:rPr/>
        <w:t xml:space="preserve">. Preferably show plinths on the drawings. Consider security of outdoor equipment.</w:t>
      </w:r>
    </w:p>
    <w:bookmarkEnd w:id="360"/>
    <w:bookmarkStart w:name="f-10701-47" w:id="362"/>
    <w:p>
      <w:pPr>
        <w:pStyle w:val="Heading4"/>
      </w:pPr>
      <w:bookmarkStart w:name="h-10701-47" w:id="363"/>
      <w:r>
        <w:rPr/>
        <w:t xml:space="preserve">Refrigerant leak detection</w:t>
      </w:r>
      <w:bookmarkEnd w:id="363"/>
    </w:p>
    <w:p>
      <w:pPr>
        <w:pStyle w:val="Body Text"/>
      </w:pPr>
      <w:r>
        <w:rPr/>
        <w:t xml:space="preserve">Requirement: Provide refrigerant leak detection to AS/NZS 5149.3 (2016).</w:t>
      </w:r>
    </w:p>
    <w:p>
      <w:pPr>
        <w:pStyle w:val="Body Text"/>
      </w:pPr>
      <w:r>
        <w:rPr/>
        <w:t xml:space="preserve">Sensors: To </w:t>
      </w:r>
      <w:r>
        <w:rPr>
          <w:b/>
        </w:rPr>
        <w:t xml:space="preserve">GAS SENSORS</w:t>
      </w:r>
      <w:r>
        <w:rPr/>
        <w:t xml:space="preserve">, </w:t>
      </w:r>
      <w:r>
        <w:rPr>
          <w:b/>
        </w:rPr>
        <w:t xml:space="preserve">Refrigerant sensor</w:t>
      </w:r>
      <w:r>
        <w:rPr/>
        <w:t xml:space="preserve"> in </w:t>
      </w:r>
      <w:r>
        <w:rPr>
          <w:i/>
        </w:rPr>
        <w:t xml:space="preserve">0771 Automatic controls</w:t>
      </w:r>
      <w:r>
        <w:rPr/>
        <w:t xml:space="preserve">.</w:t>
      </w:r>
    </w:p>
    <w:bookmarkEnd w:id="362"/>
    <w:bookmarkStart w:name="f-10701-48" w:id="364"/>
    <w:p>
      <w:pPr>
        <w:pStyle w:val="Heading3"/>
      </w:pPr>
      <w:bookmarkStart w:name="h-10701-48" w:id="365"/>
      <w:r>
        <w:rPr/>
        <w:t xml:space="preserve">REFRIGERATION PIPING</w:t>
      </w:r>
      <w:bookmarkEnd w:id="365"/>
    </w:p>
    <w:bookmarkEnd w:id="364"/>
    <w:bookmarkStart w:name="f-10701-49" w:id="366"/>
    <w:p>
      <w:pPr>
        <w:pStyle w:val="Heading4"/>
      </w:pPr>
      <w:bookmarkStart w:name="h-10701-49" w:id="367"/>
      <w:r>
        <w:rPr/>
        <w:t xml:space="preserve">General</w:t>
      </w:r>
      <w:bookmarkEnd w:id="367"/>
    </w:p>
    <w:p>
      <w:pPr>
        <w:pStyle w:val="Body Text"/>
      </w:pPr>
      <w:r>
        <w:rPr/>
        <w:t xml:space="preserve">Requirement: Conform to equipment manufacturer's recommendations for the refrigerant used. Provide refrigeration piping designed and installed so that the complete system meets the documented performance and operating conditions.</w:t>
      </w:r>
    </w:p>
    <w:bookmarkEnd w:id="366"/>
    <w:bookmarkStart w:name="f-10701-50" w:id="368"/>
    <w:p>
      <w:pPr>
        <w:pStyle w:val="Heading4"/>
      </w:pPr>
      <w:bookmarkStart w:name="h-10701-50" w:id="369"/>
      <w:r>
        <w:rPr/>
        <w:t xml:space="preserve">Design</w:t>
      </w:r>
      <w:bookmarkEnd w:id="369"/>
    </w:p>
    <w:p>
      <w:pPr>
        <w:pStyle w:val="Body Text"/>
      </w:pPr>
      <w:r>
        <w:rPr/>
        <w:t xml:space="preserve">Suction lines: Size for pressure drop less than 1.0 K saturated suction temperature.</w:t>
      </w:r>
    </w:p>
    <w:p>
      <w:pPr>
        <w:pStyle w:val="Instructions"/>
      </w:pPr>
      <w:r>
        <w:rPr/>
        <w:t xml:space="preserve">Correct sizing of suction lines is essential to the efficient operation of the system. Normally units are selected with a capacity above that documented. If the suction line is undersized, the loss in capacity may be hidden behind the excess plant capacity. For the owner however excess suction line pressure drop means wasted energy. In more extreme situations, it can result in the unit failing to meet required latent cooling capacity as the excess suction line pressure drop appears as an elevated evaporator suction temperature and hence coil dew point.</w:t>
      </w:r>
    </w:p>
    <w:p>
      <w:pPr>
        <w:pStyle w:val="Body Text"/>
      </w:pPr>
      <w:r>
        <w:rPr/>
        <w:t xml:space="preserve">Oil return: Size for oil return to compressor. If velocity for oil return would result in the suction line pressure drop exceeding pressure drop limit, provide double suction risers. Prevent oil draining back during the off cycle.</w:t>
      </w:r>
    </w:p>
    <w:p>
      <w:pPr>
        <w:pStyle w:val="Body Text"/>
      </w:pPr>
      <w:r>
        <w:rPr/>
        <w:t xml:space="preserve">Liquid lines: Size for pressure drop of less than 1.0 K saturated liquid temperature when handling the manufacturer's unit capacity under the operating temperatures stated in the schedules.</w:t>
      </w:r>
    </w:p>
    <w:bookmarkEnd w:id="368"/>
    <w:bookmarkStart w:name="f-10701-51" w:id="370"/>
    <w:p>
      <w:pPr>
        <w:pStyle w:val="Heading4"/>
      </w:pPr>
      <w:bookmarkStart w:name="h-10701-51" w:id="371"/>
      <w:r>
        <w:rPr/>
        <w:t xml:space="preserve">Layout</w:t>
      </w:r>
      <w:bookmarkEnd w:id="371"/>
    </w:p>
    <w:p>
      <w:pPr>
        <w:pStyle w:val="Body Text"/>
      </w:pPr>
      <w:r>
        <w:rPr/>
        <w:t xml:space="preserve">General: Install piping in straight lines and uniform grades without sags. Grade horizontal hot gas lines and suction lines at minimum 1 in 200 in the direction of gas flow.</w:t>
      </w:r>
    </w:p>
    <w:p>
      <w:pPr>
        <w:pStyle w:val="Body Text"/>
      </w:pPr>
      <w:r>
        <w:rPr/>
        <w:t xml:space="preserve">Location: Where possible, run suction and liquid lines inside common insulation.</w:t>
      </w:r>
    </w:p>
    <w:p>
      <w:pPr>
        <w:pStyle w:val="Instructions"/>
      </w:pPr>
      <w:r>
        <w:rPr/>
        <w:t xml:space="preserve">This reduces condensation and the resulting heat transfer increases refrigeration efficiency.</w:t>
      </w:r>
    </w:p>
    <w:p>
      <w:pPr>
        <w:pStyle w:val="Body Text"/>
      </w:pPr>
      <w:r>
        <w:rPr/>
        <w:t xml:space="preserve">Connections to vibrating equipment. Provide flexibility to resist vibration by way of coiled pipe connections or braided hose.</w:t>
      </w:r>
    </w:p>
    <w:bookmarkEnd w:id="370"/>
    <w:bookmarkStart w:name="f-10701-52" w:id="372"/>
    <w:p>
      <w:pPr>
        <w:pStyle w:val="Heading4"/>
      </w:pPr>
      <w:bookmarkStart w:name="h-10701-52" w:id="373"/>
      <w:r>
        <w:rPr/>
        <w:t xml:space="preserve">Pipe support</w:t>
      </w:r>
      <w:bookmarkEnd w:id="373"/>
    </w:p>
    <w:p>
      <w:pPr>
        <w:pStyle w:val="Body Text"/>
      </w:pPr>
      <w:r>
        <w:rPr/>
        <w:t xml:space="preserve">Requirement: To </w:t>
      </w:r>
      <w:r>
        <w:rPr>
          <w:b/>
        </w:rPr>
        <w:t xml:space="preserve">SERVICES INSTALLATION</w:t>
      </w:r>
      <w:r>
        <w:rPr/>
        <w:t xml:space="preserve">, </w:t>
      </w:r>
      <w:r>
        <w:rPr>
          <w:b/>
        </w:rPr>
        <w:t xml:space="preserve">Pipe support systems</w:t>
      </w:r>
      <w:r>
        <w:rPr/>
        <w:t xml:space="preserve"> in </w:t>
      </w:r>
      <w:r>
        <w:rPr>
          <w:i/>
        </w:rPr>
        <w:t xml:space="preserve">0171 General requirements</w:t>
      </w:r>
      <w:r>
        <w:rPr/>
        <w:t xml:space="preserve">.</w:t>
      </w:r>
    </w:p>
    <w:p>
      <w:pPr>
        <w:pStyle w:val="Body Text"/>
      </w:pPr>
      <w:r>
        <w:rPr/>
        <w:t xml:space="preserve">Stand‑off brackets: If pipes are exposed within the cool room or in food preparation areas, support on brackets to provide the clearances from adjacent surfaces to AS 4674 (2004) clause 3.2.9.</w:t>
      </w:r>
    </w:p>
    <w:bookmarkEnd w:id="372"/>
    <w:bookmarkStart w:name="f-10701-54" w:id="374"/>
    <w:p>
      <w:pPr>
        <w:pStyle w:val="Heading4"/>
      </w:pPr>
      <w:bookmarkStart w:name="h-10701-54" w:id="375"/>
      <w:r>
        <w:rPr/>
        <w:t xml:space="preserve">Pipes</w:t>
      </w:r>
      <w:bookmarkEnd w:id="375"/>
    </w:p>
    <w:p>
      <w:pPr>
        <w:pStyle w:val="Body Text"/>
      </w:pPr>
      <w:r>
        <w:rPr/>
        <w:t xml:space="preserve">Piping: Provide one of the following:</w:t>
      </w:r>
    </w:p>
    <w:p>
      <w:pPr>
        <w:pStyle w:val="NormalIndent"/>
      </w:pPr>
      <w:r>
        <w:rPr/>
        <w:t xml:space="preserve">No capacity limitation: Copper tubes as follows: </w:t>
      </w:r>
    </w:p>
    <w:p>
      <w:pPr>
        <w:pStyle w:val="NormalIndent2"/>
      </w:pPr>
      <w:r>
        <w:rPr/>
        <w:t xml:space="preserve">≤ DN 15: To AS 1571 (2020), 0 temper.</w:t>
      </w:r>
    </w:p>
    <w:p>
      <w:pPr>
        <w:pStyle w:val="NormalIndent2"/>
      </w:pPr>
      <w:r>
        <w:rPr/>
        <w:t xml:space="preserve">&gt; DN 15: To AS 1571 (2020), 1/2H temper. Use annealed (0 temper) copper only for pulled bends.</w:t>
      </w:r>
    </w:p>
    <w:p>
      <w:pPr>
        <w:pStyle w:val="NormalIndent2"/>
      </w:pPr>
      <w:r>
        <w:rPr/>
        <w:t xml:space="preserve">≤ DN 50 pipe wall thickness: To Type B.</w:t>
      </w:r>
    </w:p>
    <w:p>
      <w:pPr>
        <w:pStyle w:val="NormalIndent2"/>
      </w:pPr>
      <w:r>
        <w:rPr/>
        <w:t xml:space="preserve">&gt; DN 50 pipe wall thickness: ≥ 1.6 mm.</w:t>
      </w:r>
    </w:p>
    <w:p>
      <w:pPr>
        <w:pStyle w:val="Instructions"/>
      </w:pPr>
      <w:r>
        <w:rPr/>
        <w:t xml:space="preserve">0 temper = fully softened condition (annealed). 1/2H = intermediate temper (half hard).</w:t>
      </w:r>
    </w:p>
    <w:p>
      <w:pPr>
        <w:pStyle w:val="NormalIndent"/>
      </w:pPr>
      <w:r>
        <w:rPr/>
        <w:t xml:space="preserve">Split systems ≤ 7.5 kWr: Split system manufacturer's standard pre‑charged piping kit.</w:t>
      </w:r>
    </w:p>
    <w:bookmarkEnd w:id="374"/>
    <w:bookmarkStart w:name="f-10701-55" w:id="376"/>
    <w:p>
      <w:pPr>
        <w:pStyle w:val="Heading4"/>
      </w:pPr>
      <w:bookmarkStart w:name="h-10701-55" w:id="377"/>
      <w:r>
        <w:rPr/>
        <w:t xml:space="preserve">Bends</w:t>
      </w:r>
      <w:bookmarkEnd w:id="377"/>
    </w:p>
    <w:p>
      <w:pPr>
        <w:pStyle w:val="Body Text"/>
      </w:pPr>
      <w:r>
        <w:rPr/>
        <w:t xml:space="preserve">Pulled bends: Form bends without flattening or wrinkling with an inside radius of minimum 3 pipe diameters using the correct tool size for the pipe diameter.</w:t>
      </w:r>
    </w:p>
    <w:bookmarkEnd w:id="376"/>
    <w:bookmarkStart w:name="f-10701-56" w:id="378"/>
    <w:p>
      <w:pPr>
        <w:pStyle w:val="Heading4"/>
      </w:pPr>
      <w:bookmarkStart w:name="h-10701-56" w:id="379"/>
      <w:r>
        <w:rPr/>
        <w:t xml:space="preserve">Pipe fittings</w:t>
      </w:r>
      <w:bookmarkEnd w:id="379"/>
    </w:p>
    <w:p>
      <w:pPr>
        <w:pStyle w:val="Body Text"/>
      </w:pPr>
      <w:r>
        <w:rPr/>
        <w:t xml:space="preserve">Copper alloy fittings: To AS 3688 (2016), dezincification resistant, welded, brazed or compression type only.</w:t>
      </w:r>
    </w:p>
    <w:p>
      <w:pPr>
        <w:pStyle w:val="Body Text"/>
      </w:pPr>
      <w:r>
        <w:rPr/>
        <w:t xml:space="preserve">Preformed fittings: Preformed refrigerant capillary line tees, bushes, couplings and elbows. Wherever possible, make reductions at elbows, tees, line devices or equipment connections with reducing fittings, otherwise provide reducing bushes or reducing couplings.</w:t>
      </w:r>
    </w:p>
    <w:p>
      <w:pPr>
        <w:pStyle w:val="Body Text"/>
      </w:pPr>
      <w:r>
        <w:rPr/>
        <w:t xml:space="preserve">Compression fittings: Flareless twin ferrule, torque free, mechanical grip fittings that can be gauged using a precision ground and hardened metal gap inspection gauge. Provide frost proof flare nuts.</w:t>
      </w:r>
    </w:p>
    <w:p>
      <w:pPr>
        <w:pStyle w:val="Body Text"/>
      </w:pPr>
      <w:r>
        <w:rPr/>
        <w:t xml:space="preserve">Screwed joints: Use only if equipment items are not available with flare, flanged or brazed capillary connections.</w:t>
      </w:r>
    </w:p>
    <w:bookmarkEnd w:id="378"/>
    <w:bookmarkStart w:name="f-10701-57" w:id="380"/>
    <w:p>
      <w:pPr>
        <w:pStyle w:val="Heading4"/>
      </w:pPr>
      <w:bookmarkStart w:name="h-10701-57" w:id="381"/>
      <w:r>
        <w:rPr/>
        <w:t xml:space="preserve">Brazed joints</w:t>
      </w:r>
      <w:bookmarkEnd w:id="381"/>
    </w:p>
    <w:p>
      <w:pPr>
        <w:pStyle w:val="Body Text"/>
      </w:pPr>
      <w:r>
        <w:rPr/>
        <w:t xml:space="preserve">General: Provide preformed capillary fittings or form capillary unions by expanding one pipe end. Prevent flux and brazing alloy from entering pipes. Use dry nitrogen to purge air from pipes before brazing. During brazing, maintain a flow of dry nitrogen through pipes to prevent oxidation.</w:t>
      </w:r>
    </w:p>
    <w:p>
      <w:pPr>
        <w:pStyle w:val="Instructions"/>
      </w:pPr>
      <w:r>
        <w:rPr/>
        <w:t xml:space="preserve">Avoid flared screwed or flanged joints wherever possible. In addition to using nitrogen, if possible, clean internal accessible joints before proceeding with further assembly work to provide the maximum possible internal cleanliness.</w:t>
      </w:r>
    </w:p>
    <w:p>
      <w:pPr>
        <w:pStyle w:val="Body Text"/>
      </w:pPr>
      <w:r>
        <w:rPr/>
        <w:t xml:space="preserve">Brazing alloy: To AS/NZS ISO 17672 (2025) Table 7 alloy CuP 284.</w:t>
      </w:r>
    </w:p>
    <w:p>
      <w:pPr>
        <w:pStyle w:val="Body Text"/>
      </w:pPr>
      <w:r>
        <w:rPr/>
        <w:t xml:space="preserve">Brazing alloy for jointing dissimilar metals: To AS/NZS ISO 17672 (2025) Table 6 alloy Ag 134.</w:t>
      </w:r>
    </w:p>
    <w:bookmarkEnd w:id="380"/>
    <w:bookmarkStart w:name="f-10701-58" w:id="382"/>
    <w:p>
      <w:pPr>
        <w:pStyle w:val="Heading4"/>
      </w:pPr>
      <w:bookmarkStart w:name="h-10701-58" w:id="383"/>
      <w:r>
        <w:rPr/>
        <w:t xml:space="preserve">Penetrations</w:t>
      </w:r>
      <w:bookmarkEnd w:id="383"/>
    </w:p>
    <w:p>
      <w:pPr>
        <w:pStyle w:val="Body Text"/>
      </w:pPr>
      <w:r>
        <w:rPr/>
        <w:t xml:space="preserve">General: Provide cover plates and sleeves to </w:t>
      </w:r>
      <w:r>
        <w:rPr>
          <w:b/>
        </w:rPr>
        <w:t xml:space="preserve">BUILDING PENETRATIONS</w:t>
      </w:r>
      <w:r>
        <w:rPr/>
        <w:t xml:space="preserve"> in </w:t>
      </w:r>
      <w:r>
        <w:rPr>
          <w:i/>
        </w:rPr>
        <w:t xml:space="preserve">0171 General requirements</w:t>
      </w:r>
      <w:r>
        <w:rPr/>
        <w:t xml:space="preserve">, and insulate the space between the pipe and sleeves.</w:t>
      </w:r>
    </w:p>
    <w:bookmarkEnd w:id="382"/>
    <w:bookmarkStart w:name="f-10701-59" w:id="384"/>
    <w:p>
      <w:pPr>
        <w:pStyle w:val="Heading4"/>
      </w:pPr>
      <w:bookmarkStart w:name="h-10701-59" w:id="385"/>
      <w:r>
        <w:rPr/>
        <w:t xml:space="preserve">Valves</w:t>
      </w:r>
      <w:bookmarkEnd w:id="385"/>
    </w:p>
    <w:p>
      <w:pPr>
        <w:pStyle w:val="Body Text"/>
      </w:pPr>
      <w:r>
        <w:rPr/>
        <w:t xml:space="preserve">General: Provide valves to AS/NZS 5149.2 (2016). Make provision for charging and withdrawal of refrigerant. If a gauge is not permanently connected (for example commissioning connections), seal the outlet of the isolating valve with a flared seal cap nut.</w:t>
      </w:r>
    </w:p>
    <w:bookmarkEnd w:id="384"/>
    <w:bookmarkStart w:name="f-10701-60" w:id="386"/>
    <w:p>
      <w:pPr>
        <w:pStyle w:val="Heading4"/>
      </w:pPr>
      <w:bookmarkStart w:name="h-10701-60" w:id="387"/>
      <w:r>
        <w:rPr/>
        <w:t xml:space="preserve">Valve types</w:t>
      </w:r>
      <w:bookmarkEnd w:id="387"/>
    </w:p>
    <w:p>
      <w:pPr>
        <w:pStyle w:val="Body Text"/>
      </w:pPr>
      <w:r>
        <w:rPr/>
        <w:t xml:space="preserve">Expansion valves: To maintain correct superheat over the operating range.</w:t>
      </w:r>
    </w:p>
    <w:p>
      <w:pPr>
        <w:pStyle w:val="Body Text"/>
      </w:pPr>
      <w:r>
        <w:rPr/>
        <w:t xml:space="preserve">Packed and capped line globe valves: Back seating valves with renewable nylon or PTFE seats, packed spindle and removable gland cap. Incorporate mounting feet integral with valve body with adequate fixing holes.</w:t>
      </w:r>
    </w:p>
    <w:p>
      <w:pPr>
        <w:pStyle w:val="Body Text"/>
      </w:pPr>
      <w:r>
        <w:rPr/>
        <w:t xml:space="preserve">Service valves: Backseating type with gasketed cap.</w:t>
      </w:r>
    </w:p>
    <w:p>
      <w:pPr>
        <w:pStyle w:val="Body Text"/>
      </w:pPr>
      <w:r>
        <w:rPr/>
        <w:t xml:space="preserve">Solenoid line valves: Solenoid coil and valve parts replaceable without disturbing valve body or refrigerant piping.</w:t>
      </w:r>
    </w:p>
    <w:bookmarkEnd w:id="386"/>
    <w:bookmarkStart w:name="f-10701-61" w:id="388"/>
    <w:p>
      <w:pPr>
        <w:pStyle w:val="Heading4"/>
      </w:pPr>
      <w:bookmarkStart w:name="h-10701-61" w:id="389"/>
      <w:r>
        <w:rPr/>
        <w:t xml:space="preserve">Piping protection</w:t>
      </w:r>
      <w:bookmarkEnd w:id="389"/>
    </w:p>
    <w:p>
      <w:pPr>
        <w:pStyle w:val="Body Text"/>
      </w:pPr>
      <w:r>
        <w:rPr/>
        <w:t xml:space="preserve">Extent: Protect refrigeration piping exposed to view, weather or potential damage with piping covers fabricated from 0.6 mm thick prefinished metallic‑coated steel.</w:t>
      </w:r>
    </w:p>
    <w:p>
      <w:pPr>
        <w:pStyle w:val="Instructions"/>
      </w:pPr>
      <w:r>
        <w:rPr/>
        <w:t xml:space="preserve">e.g. Colorbond.</w:t>
      </w:r>
    </w:p>
    <w:p>
      <w:pPr>
        <w:pStyle w:val="Body Text"/>
      </w:pPr>
      <w:r>
        <w:rPr/>
        <w:t xml:space="preserve">Section: Folded hat sections to suit piping.</w:t>
      </w:r>
    </w:p>
    <w:p>
      <w:pPr>
        <w:pStyle w:val="Body Text"/>
      </w:pPr>
      <w:r>
        <w:rPr/>
        <w:t xml:space="preserve">Weatherproofing: Weatherproof external joints and fasteners with non‑setting mastic sealant.</w:t>
      </w:r>
    </w:p>
    <w:bookmarkEnd w:id="388"/>
    <w:bookmarkStart w:name="f-10701-62" w:id="390"/>
    <w:p>
      <w:pPr>
        <w:pStyle w:val="Heading3"/>
      </w:pPr>
      <w:bookmarkStart w:name="h-10701-62" w:id="391"/>
      <w:r>
        <w:rPr/>
        <w:t xml:space="preserve">CONDENSATE DRAINS</w:t>
      </w:r>
      <w:bookmarkEnd w:id="391"/>
    </w:p>
    <w:p>
      <w:pPr>
        <w:pStyle w:val="Instructions"/>
      </w:pPr>
      <w:r>
        <w:rPr/>
        <w:t xml:space="preserve">See AS/NZS 3666.1 (2011) clauses 2.8 and 2.9 for drainage requirements and recommendations. See NATSPEC TECHnote DES 022 for more information on requirements for microbial control in buildings.</w:t>
      </w:r>
    </w:p>
    <w:bookmarkEnd w:id="390"/>
    <w:bookmarkStart w:name="f-10701-63" w:id="392"/>
    <w:p>
      <w:pPr>
        <w:pStyle w:val="Heading4"/>
      </w:pPr>
      <w:bookmarkStart w:name="h-10701-63" w:id="393"/>
      <w:r>
        <w:rPr/>
        <w:t xml:space="preserve">General</w:t>
      </w:r>
      <w:bookmarkEnd w:id="393"/>
    </w:p>
    <w:p>
      <w:pPr>
        <w:pStyle w:val="Body Text"/>
      </w:pPr>
      <w:r>
        <w:rPr/>
        <w:t xml:space="preserve">Condensate drains: Provide trapped drain lines with uniform and continuous fall to connect condensate trays to the nearest building drain point.</w:t>
      </w:r>
    </w:p>
    <w:p>
      <w:pPr>
        <w:pStyle w:val="Instructions"/>
      </w:pPr>
      <w:r>
        <w:rPr/>
        <w:t xml:space="preserve">Preferably show the location of building drain points on the drawings. There may be local statutory restrictions on where condensate can be discharged.</w:t>
      </w:r>
    </w:p>
    <w:p>
      <w:pPr>
        <w:pStyle w:val="Body Text"/>
      </w:pPr>
      <w:r>
        <w:rPr/>
        <w:t xml:space="preserve">Material:</w:t>
      </w:r>
    </w:p>
    <w:p>
      <w:pPr>
        <w:pStyle w:val="NormalIndent"/>
      </w:pPr>
      <w:r>
        <w:rPr/>
        <w:t xml:space="preserve">Room operating temperature &gt; 0°C: PVC‑U.</w:t>
      </w:r>
    </w:p>
    <w:p>
      <w:pPr>
        <w:pStyle w:val="NormalIndent"/>
      </w:pPr>
      <w:r>
        <w:rPr/>
        <w:t xml:space="preserve">Room operating temperature ≤ 0°C: </w:t>
      </w:r>
    </w:p>
    <w:p>
      <w:pPr>
        <w:pStyle w:val="NormalIndent2"/>
      </w:pPr>
      <w:r>
        <w:rPr/>
        <w:t xml:space="preserve">Inside room: Copper.</w:t>
      </w:r>
    </w:p>
    <w:p>
      <w:pPr>
        <w:pStyle w:val="NormalIndent2"/>
      </w:pPr>
      <w:r>
        <w:rPr/>
        <w:t xml:space="preserve">Outside room: PVC‑U.</w:t>
      </w:r>
    </w:p>
    <w:p>
      <w:pPr>
        <w:pStyle w:val="NormalIndent"/>
      </w:pPr>
      <w:r>
        <w:rPr/>
        <w:t xml:space="preserve">All cool rooms in kitchens: Chromium‑plated copper.</w:t>
      </w:r>
    </w:p>
    <w:p>
      <w:pPr>
        <w:pStyle w:val="Body Text"/>
      </w:pPr>
      <w:r>
        <w:rPr/>
        <w:t xml:space="preserve">Size: The greater of the unit drain connection size and DN 20.</w:t>
      </w:r>
    </w:p>
    <w:p>
      <w:pPr>
        <w:pStyle w:val="Body Text"/>
      </w:pPr>
      <w:r>
        <w:rPr/>
        <w:t xml:space="preserve">Pipe support spacing: To AS/NZS 3500.1 (2025) Table 5.7.4.</w:t>
      </w:r>
    </w:p>
    <w:p>
      <w:pPr>
        <w:pStyle w:val="Instructions"/>
      </w:pPr>
      <w:r>
        <w:rPr/>
        <w:t xml:space="preserve">AS/NZS 3500.1 (2025) Table 5.7.4 includes copper, PVC‑U and other materials.</w:t>
      </w:r>
    </w:p>
    <w:p>
      <w:pPr>
        <w:pStyle w:val="Body Text"/>
      </w:pPr>
      <w:r>
        <w:rPr/>
        <w:t xml:space="preserve">Sealing: Seal drain pipes if they penetrate casing.</w:t>
      </w:r>
    </w:p>
    <w:p>
      <w:pPr>
        <w:pStyle w:val="Body Text"/>
      </w:pPr>
      <w:r>
        <w:rPr/>
        <w:t xml:space="preserve">Termination: Terminate drains to allow visual inspection of condensate flow.</w:t>
      </w:r>
    </w:p>
    <w:p>
      <w:pPr>
        <w:pStyle w:val="Body Text"/>
      </w:pPr>
      <w:r>
        <w:rPr/>
        <w:t xml:space="preserve">Traps: To withstand more than 2 times fan static pressure. Construct from either:</w:t>
      </w:r>
    </w:p>
    <w:p>
      <w:pPr>
        <w:pStyle w:val="NormalIndent"/>
      </w:pPr>
      <w:r>
        <w:rPr/>
        <w:t xml:space="preserve">Transparent, kink resistant hose.</w:t>
      </w:r>
    </w:p>
    <w:p>
      <w:pPr>
        <w:pStyle w:val="NormalIndent"/>
      </w:pPr>
      <w:r>
        <w:rPr/>
        <w:t xml:space="preserve">PVC‑U trap with removable caps and a visible air break.</w:t>
      </w:r>
    </w:p>
    <w:p>
      <w:pPr>
        <w:pStyle w:val="Body Text"/>
      </w:pPr>
      <w:r>
        <w:rPr/>
        <w:t xml:space="preserve">Falls and drains: Check that the condensate tray falls conform to AS/NZS 3666.1 (2011). Make sure trays and sumps are graded to the outlet to prevent moisture retention. Test drains by pouring a measured quantity of water into upstream end.</w:t>
      </w:r>
    </w:p>
    <w:bookmarkEnd w:id="392"/>
    <w:bookmarkStart w:name="f-10701-64" w:id="394"/>
    <w:p>
      <w:pPr>
        <w:pStyle w:val="Heading4"/>
      </w:pPr>
      <w:bookmarkStart w:name="h-10701-64" w:id="395"/>
      <w:r>
        <w:rPr/>
        <w:t xml:space="preserve">Trace heating</w:t>
      </w:r>
      <w:bookmarkEnd w:id="395"/>
    </w:p>
    <w:p>
      <w:pPr>
        <w:pStyle w:val="Body Text"/>
      </w:pPr>
      <w:r>
        <w:rPr/>
        <w:t xml:space="preserve">Room operating temperature ≤ 2°C: Provide trace heating to condensate drain piping to prevent their contents from freezing.</w:t>
      </w:r>
    </w:p>
    <w:p>
      <w:pPr>
        <w:pStyle w:val="Instructions"/>
      </w:pPr>
      <w:r>
        <w:rPr/>
        <w:t xml:space="preserve">It may be necessary to insulate drains in high humidity environments, such as tropical locations. If the condensate drain discharges into a waste line that has intermittent flows from other sources, the waste may also require insulation.</w:t>
      </w:r>
    </w:p>
    <w:p>
      <w:pPr>
        <w:pStyle w:val="Body Text"/>
      </w:pPr>
      <w:r>
        <w:rPr/>
        <w:t xml:space="preserve">Control: Integrate heater operation with defrost termination and fan delay thermostat.</w:t>
      </w:r>
    </w:p>
    <w:bookmarkEnd w:id="394"/>
    <w:bookmarkStart w:name="f-10701-65" w:id="396"/>
    <w:p>
      <w:pPr>
        <w:pStyle w:val="OptionalHeading4"/>
      </w:pPr>
      <w:bookmarkStart w:name="h-10701-65" w:id="397"/>
      <w:r>
        <w:rPr/>
        <w:t xml:space="preserve">Insulation</w:t>
      </w:r>
      <w:bookmarkEnd w:id="397"/>
    </w:p>
    <w:p>
      <w:pPr>
        <w:pStyle w:val="OptionalNormal"/>
      </w:pPr>
      <w:r>
        <w:rPr/>
        <w:t xml:space="preserve">General: If drains run in ceilings above occupied areas or other locations where condensation could cause damage or nuisance, provide insulation to </w:t>
      </w:r>
      <w:r>
        <w:rPr>
          <w:b/>
        </w:rPr>
        <w:t xml:space="preserve">REFRIGERATION PIPE INSULATION</w:t>
      </w:r>
      <w:r>
        <w:rPr/>
        <w:t xml:space="preserve">.</w:t>
      </w:r>
    </w:p>
    <w:p>
      <w:pPr>
        <w:pStyle w:val="OptionalNormal"/>
      </w:pPr>
      <w:r>
        <w:rPr/>
        <w:t xml:space="preserve">Insulation R‑Value: ≥ 0.6 m</w:t>
      </w:r>
      <w:r>
        <w:rPr>
          <w:vertAlign w:val="superscript"/>
        </w:rPr>
        <w:t xml:space="preserve">2</w:t>
      </w:r>
      <w:r>
        <w:rPr/>
        <w:t xml:space="preserve">.K/W.</w:t>
      </w:r>
    </w:p>
    <w:p>
      <w:pPr>
        <w:pStyle w:val="Instructions"/>
      </w:pPr>
      <w:r>
        <w:rPr/>
        <w:t xml:space="preserve">Edit R‑Value to suit project conditions.</w:t>
      </w:r>
    </w:p>
    <w:p>
      <w:pPr>
        <w:pStyle w:val="Instructions"/>
      </w:pPr>
      <w:r>
        <w:rPr/>
        <w:t xml:space="preserve">Consider including this </w:t>
      </w:r>
      <w:r>
        <w:rPr>
          <w:i/>
        </w:rPr>
        <w:t xml:space="preserve">Optional</w:t>
      </w:r>
      <w:r>
        <w:rPr/>
        <w:t xml:space="preserve"> style text by changing to </w:t>
      </w:r>
      <w:r>
        <w:rPr>
          <w:i/>
        </w:rPr>
        <w:t xml:space="preserve">Normal</w:t>
      </w:r>
      <w:r>
        <w:rPr/>
        <w:t xml:space="preserve"> style text.</w:t>
      </w:r>
    </w:p>
    <w:bookmarkEnd w:id="396"/>
    <w:bookmarkStart w:name="f-10701-66" w:id="398"/>
    <w:p>
      <w:pPr>
        <w:pStyle w:val="Heading3"/>
      </w:pPr>
      <w:bookmarkStart w:name="h-10701-66" w:id="399"/>
      <w:r>
        <w:rPr/>
        <w:t xml:space="preserve">REFRIGERATION PIPE INSULATION</w:t>
      </w:r>
      <w:bookmarkEnd w:id="399"/>
    </w:p>
    <w:bookmarkEnd w:id="398"/>
    <w:bookmarkStart w:name="f-10701-67" w:id="400"/>
    <w:p>
      <w:pPr>
        <w:pStyle w:val="Heading4"/>
      </w:pPr>
      <w:bookmarkStart w:name="h-10701-67" w:id="401"/>
      <w:r>
        <w:rPr/>
        <w:t xml:space="preserve">Installation</w:t>
      </w:r>
      <w:bookmarkEnd w:id="401"/>
    </w:p>
    <w:p>
      <w:pPr>
        <w:pStyle w:val="Body Text"/>
      </w:pPr>
      <w:r>
        <w:rPr/>
        <w:t xml:space="preserve">General: Insulate any refrigerant piping that may sweat. Apply insulation un‑slit if possible. If the insulation is slit, refix slit faces with adhesive applied to full area.</w:t>
      </w:r>
    </w:p>
    <w:p>
      <w:pPr>
        <w:pStyle w:val="Body Text"/>
      </w:pPr>
      <w:r>
        <w:rPr/>
        <w:t xml:space="preserve">Joining: Use only an adhesive or jointing system supplied by the insulation manufacturer.</w:t>
      </w:r>
    </w:p>
    <w:p>
      <w:pPr>
        <w:pStyle w:val="Body Text"/>
      </w:pPr>
      <w:r>
        <w:rPr/>
        <w:t xml:space="preserve">Timing: Leak test piping to </w:t>
      </w:r>
      <w:r>
        <w:rPr>
          <w:b/>
        </w:rPr>
        <w:t xml:space="preserve">EVACUATION OF REFRIGERANT GAS SYSTEMS</w:t>
      </w:r>
      <w:r>
        <w:rPr/>
        <w:t xml:space="preserve"> before insulating joints, fittings and valves.</w:t>
      </w:r>
    </w:p>
    <w:p>
      <w:pPr>
        <w:pStyle w:val="Body Text"/>
      </w:pPr>
      <w:r>
        <w:rPr/>
        <w:t xml:space="preserve">Finish: If exposed to sunlight or to view in occupied areas, provide 2 coats of tintable, water‑based, rubberised, ultraviolet‑resistant, flexible paint finish.</w:t>
      </w:r>
    </w:p>
    <w:p>
      <w:pPr>
        <w:pStyle w:val="Body Text"/>
      </w:pPr>
      <w:r>
        <w:rPr/>
        <w:t xml:space="preserve">Penetrations through fire‑resistant elements: If insulated pipe penetrates a fire‑resistant element, provide a section of non‑combustible, non‑hygroscopic insulation for the thickness of the element and 150 mm each side.</w:t>
      </w:r>
    </w:p>
    <w:bookmarkEnd w:id="400"/>
    <w:bookmarkStart w:name="f-10701-68" w:id="402"/>
    <w:p>
      <w:pPr>
        <w:pStyle w:val="Heading3"/>
      </w:pPr>
      <w:bookmarkStart w:name="h-10701-68" w:id="403"/>
      <w:r>
        <w:rPr/>
        <w:t xml:space="preserve">EVACUATION OF REFRIGERANT GAS SYSTEMS</w:t>
      </w:r>
      <w:bookmarkEnd w:id="403"/>
    </w:p>
    <w:bookmarkEnd w:id="402"/>
    <w:bookmarkStart w:name="f-10701-69" w:id="404"/>
    <w:p>
      <w:pPr>
        <w:pStyle w:val="Heading4"/>
      </w:pPr>
      <w:bookmarkStart w:name="h-10701-69" w:id="405"/>
      <w:r>
        <w:rPr/>
        <w:t xml:space="preserve">General</w:t>
      </w:r>
      <w:bookmarkEnd w:id="405"/>
    </w:p>
    <w:p>
      <w:pPr>
        <w:pStyle w:val="Body Text"/>
      </w:pPr>
      <w:r>
        <w:rPr/>
        <w:t xml:space="preserve">System evacuation: Dehydrate the refrigerant gas system before charging with the refrigerant gas.</w:t>
      </w:r>
    </w:p>
    <w:p>
      <w:pPr>
        <w:pStyle w:val="Body Text"/>
      </w:pPr>
      <w:r>
        <w:rPr/>
        <w:t xml:space="preserve">Evacuation: Conform to the recommendations of AIRAH Refrigerant handling Code of Practice Part 1 (2025) or AIRAH Refrigerant handling Code of Practice Part 2 (2025), as applicable. If using the deep vacuum method to AIRAH Refrigerant handling Code of Practice Part 2 (2025), pull a vacuum to the lowest pressure achievable with the available equipment.</w:t>
      </w:r>
    </w:p>
    <w:p>
      <w:pPr>
        <w:pStyle w:val="Instructions"/>
      </w:pPr>
      <w:r>
        <w:rPr/>
        <w:t xml:space="preserve">The objective of the specified requirement is to make the most of the evacuation process. The achievable vacuum will depend on factors such as the pump used, system size and amount of water in the system. Below 610 Pa (absolute) water freezes so additional heat will be required to remove it.</w:t>
      </w:r>
    </w:p>
    <w:bookmarkEnd w:id="404"/>
    <w:bookmarkStart w:name="f-10701-70" w:id="406"/>
    <w:p>
      <w:pPr>
        <w:pStyle w:val="Heading3"/>
      </w:pPr>
      <w:bookmarkStart w:name="h-10701-70" w:id="407"/>
      <w:r>
        <w:rPr/>
        <w:t xml:space="preserve">ELECTRICAL GENERALLY</w:t>
      </w:r>
      <w:bookmarkEnd w:id="407"/>
    </w:p>
    <w:bookmarkEnd w:id="406"/>
    <w:bookmarkStart w:name="f-10701-71" w:id="408"/>
    <w:p>
      <w:pPr>
        <w:pStyle w:val="Heading4"/>
      </w:pPr>
      <w:bookmarkStart w:name="h-10701-71" w:id="409"/>
      <w:r>
        <w:rPr/>
        <w:t xml:space="preserve">General</w:t>
      </w:r>
      <w:bookmarkEnd w:id="409"/>
    </w:p>
    <w:p>
      <w:pPr>
        <w:pStyle w:val="Body Text"/>
      </w:pPr>
      <w:r>
        <w:rPr/>
        <w:t xml:space="preserve">Requirement: Conform to </w:t>
      </w:r>
      <w:r>
        <w:rPr>
          <w:i/>
        </w:rPr>
        <w:t xml:space="preserve">0781 Mechanical electrical</w:t>
      </w:r>
      <w:r>
        <w:rPr/>
        <w:t xml:space="preserve">.</w:t>
      </w:r>
    </w:p>
    <w:p>
      <w:pPr>
        <w:pStyle w:val="Instructions"/>
      </w:pPr>
      <w:r>
        <w:rPr/>
        <w:t xml:space="preserve">Alternatively, consider </w:t>
      </w:r>
      <w:r>
        <w:rPr>
          <w:i/>
        </w:rPr>
        <w:t xml:space="preserve">0782 Mechanical electrical - minor</w:t>
      </w:r>
      <w:r>
        <w:rPr/>
        <w:t xml:space="preserve"> for a stand‑alone cool room contract.</w:t>
      </w:r>
    </w:p>
    <w:p>
      <w:pPr>
        <w:pStyle w:val="Body Text"/>
      </w:pPr>
      <w:r>
        <w:rPr/>
        <w:t xml:space="preserve">Conduits: Box type sealed internally.</w:t>
      </w:r>
    </w:p>
    <w:p>
      <w:pPr>
        <w:pStyle w:val="Body Text"/>
      </w:pPr>
      <w:r>
        <w:rPr/>
        <w:t xml:space="preserve">Stand‑off brackets: If conduits are exposed within the cool room or in food preparation areas, support on brackets to provide the clearances from adjacent surfaces to AS 4674 (2004) clause 3.2.9.</w:t>
      </w:r>
    </w:p>
    <w:bookmarkEnd w:id="408"/>
    <w:bookmarkStart w:name="f-10701-72" w:id="410"/>
    <w:p>
      <w:pPr>
        <w:pStyle w:val="Heading4"/>
      </w:pPr>
      <w:bookmarkStart w:name="h-10701-72" w:id="411"/>
      <w:r>
        <w:rPr/>
        <w:t xml:space="preserve">Control panel cabinets</w:t>
      </w:r>
      <w:bookmarkEnd w:id="411"/>
    </w:p>
    <w:p>
      <w:pPr>
        <w:pStyle w:val="Body Text"/>
      </w:pPr>
      <w:r>
        <w:rPr/>
        <w:t xml:space="preserve">Construction: Provide control panels documented as follows:</w:t>
      </w:r>
    </w:p>
    <w:p>
      <w:pPr>
        <w:pStyle w:val="NormalIndent"/>
      </w:pPr>
      <w:r>
        <w:rPr/>
        <w:t xml:space="preserve">Location: Outside the cool room.</w:t>
      </w:r>
    </w:p>
    <w:p>
      <w:pPr>
        <w:pStyle w:val="NormalIndent"/>
      </w:pPr>
      <w:r>
        <w:rPr/>
        <w:t xml:space="preserve">Metallic‑coated steel: Construction to </w:t>
      </w:r>
      <w:r>
        <w:rPr>
          <w:i/>
        </w:rPr>
        <w:t xml:space="preserve">0781 Mechanical electrical</w:t>
      </w:r>
      <w:r>
        <w:rPr/>
        <w:t xml:space="preserve">.</w:t>
      </w:r>
    </w:p>
    <w:p>
      <w:pPr>
        <w:pStyle w:val="NormalIndent"/>
      </w:pPr>
      <w:r>
        <w:rPr/>
        <w:t xml:space="preserve">Proprietary: Proprietary IP65 polycarbonate enclosure with removable front cover retained by quarter turn fasteners with front cover fasteners and wall fixing holes located outside the sealed space. In all other respects, conform to </w:t>
      </w:r>
      <w:r>
        <w:rPr>
          <w:i/>
        </w:rPr>
        <w:t xml:space="preserve">0781 Mechanical electrical</w:t>
      </w:r>
      <w:r>
        <w:rPr/>
        <w:t xml:space="preserve">.</w:t>
      </w:r>
    </w:p>
    <w:p>
      <w:pPr>
        <w:pStyle w:val="Instructions"/>
      </w:pPr>
      <w:r>
        <w:rPr/>
        <w:t xml:space="preserve">Include panel type in the </w:t>
      </w:r>
      <w:r>
        <w:rPr>
          <w:b/>
        </w:rPr>
        <w:t xml:space="preserve">Cool room schedule</w:t>
      </w:r>
      <w:r>
        <w:rPr/>
        <w:t xml:space="preserve"> or show on the drawings.</w:t>
      </w:r>
    </w:p>
    <w:bookmarkEnd w:id="410"/>
    <w:bookmarkStart w:name="f-10701-79" w:id="412"/>
    <w:p>
      <w:pPr>
        <w:pStyle w:val="Heading3"/>
      </w:pPr>
      <w:bookmarkStart w:name="h-10701-79" w:id="413"/>
      <w:r>
        <w:rPr/>
        <w:t xml:space="preserve">LIGHTING</w:t>
      </w:r>
      <w:bookmarkEnd w:id="413"/>
    </w:p>
    <w:bookmarkEnd w:id="412"/>
    <w:bookmarkStart w:name="f-10701-80" w:id="414"/>
    <w:p>
      <w:pPr>
        <w:pStyle w:val="Heading4"/>
      </w:pPr>
      <w:bookmarkStart w:name="h-10701-80" w:id="415"/>
      <w:r>
        <w:rPr/>
        <w:t xml:space="preserve">Service lighting</w:t>
      </w:r>
      <w:bookmarkEnd w:id="415"/>
    </w:p>
    <w:p>
      <w:pPr>
        <w:pStyle w:val="Body Text"/>
      </w:pPr>
      <w:r>
        <w:rPr/>
        <w:t xml:space="preserve">Cool rooms for food storage: To AS 4674 (2004) clause 2.6.</w:t>
      </w:r>
    </w:p>
    <w:p>
      <w:pPr>
        <w:pStyle w:val="Instructions"/>
      </w:pPr>
      <w:r>
        <w:rPr/>
        <w:t xml:space="preserve">AS 4674 (2004) clause 2.6 references AS/NZS 1680.1 (2006) and AS/NZS 1680.2.4 (2017).</w:t>
      </w:r>
    </w:p>
    <w:p>
      <w:pPr>
        <w:pStyle w:val="Body Text"/>
      </w:pPr>
      <w:r>
        <w:rPr/>
        <w:t xml:space="preserve">Service lighting illumination level: Greater than 100 lux.</w:t>
      </w:r>
    </w:p>
    <w:bookmarkEnd w:id="414"/>
    <w:bookmarkStart w:name="f-10701-81" w:id="416"/>
    <w:p>
      <w:pPr>
        <w:pStyle w:val="Heading4"/>
      </w:pPr>
      <w:bookmarkStart w:name="h-10701-81" w:id="417"/>
      <w:r>
        <w:rPr/>
        <w:t xml:space="preserve">Luminaires</w:t>
      </w:r>
      <w:bookmarkEnd w:id="417"/>
    </w:p>
    <w:p>
      <w:pPr>
        <w:pStyle w:val="Body Text"/>
      </w:pPr>
      <w:r>
        <w:rPr/>
        <w:t xml:space="preserve">Cool rooms for food storage: To AS 4674 (2004) clause 2.6.2.</w:t>
      </w:r>
    </w:p>
    <w:p>
      <w:pPr>
        <w:pStyle w:val="Body Text"/>
      </w:pPr>
      <w:r>
        <w:rPr/>
        <w:t xml:space="preserve">Type: Provide LED luminaires specifically designed for use at both ambient temperature and the cool room minimum operating temperature.</w:t>
      </w:r>
    </w:p>
    <w:p>
      <w:pPr>
        <w:pStyle w:val="Body Text"/>
      </w:pPr>
      <w:r>
        <w:rPr/>
        <w:t xml:space="preserve">Diffuser: High impact acrylic or UV‑stabilised polycarbonate.</w:t>
      </w:r>
    </w:p>
    <w:p>
      <w:pPr>
        <w:pStyle w:val="Body Text"/>
      </w:pPr>
      <w:r>
        <w:rPr/>
        <w:t xml:space="preserve">Degree of protection: Minimum IP65 to AS 60529 (2025). Seal all wiring entries.</w:t>
      </w:r>
    </w:p>
    <w:p>
      <w:pPr>
        <w:pStyle w:val="Instructions"/>
      </w:pPr>
      <w:r>
        <w:rPr/>
        <w:t xml:space="preserve">AS 60529 (2004) will also remain current for 24 months (until 23 May 2027) after the date of publication of AS 60529 (2025).</w:t>
      </w:r>
    </w:p>
    <w:bookmarkEnd w:id="416"/>
    <w:bookmarkStart w:name="f-10701-82" w:id="418"/>
    <w:p>
      <w:pPr>
        <w:pStyle w:val="Heading4"/>
      </w:pPr>
      <w:bookmarkStart w:name="h-10701-82" w:id="419"/>
      <w:r>
        <w:rPr/>
        <w:t xml:space="preserve">Switching requirements</w:t>
      </w:r>
      <w:bookmarkEnd w:id="419"/>
    </w:p>
    <w:p>
      <w:pPr>
        <w:pStyle w:val="Body Text"/>
      </w:pPr>
      <w:r>
        <w:rPr/>
        <w:t xml:space="preserve">Service lights: Provide a labelled LIGHTING ON/OFF control switch on the inside of the cool room adjacent to the door, to control the service light(s). Arrange so that the light(s) cannot be switched off from outside the room. Ensure no other interposing switch/contactor is inserted into the internal cool room lighting control switch wire.</w:t>
      </w:r>
    </w:p>
    <w:p>
      <w:pPr>
        <w:pStyle w:val="Body Text"/>
      </w:pPr>
      <w:r>
        <w:rPr/>
        <w:t xml:space="preserve">Control switch degree of protection: IP66 to AS 60529 (2025). Seal all wiring entries.</w:t>
      </w:r>
    </w:p>
    <w:p>
      <w:pPr>
        <w:pStyle w:val="Body Text"/>
      </w:pPr>
      <w:r>
        <w:rPr/>
        <w:t xml:space="preserve">Pilot light: Provide a pilot light on the outside of the cool room with labelling to indicate when the service lights are ON.</w:t>
      </w:r>
    </w:p>
    <w:bookmarkEnd w:id="418"/>
    <w:bookmarkStart w:name="f-10701-83" w:id="420"/>
    <w:p>
      <w:pPr>
        <w:pStyle w:val="Heading3"/>
      </w:pPr>
      <w:bookmarkStart w:name="h-10701-83" w:id="421"/>
      <w:r>
        <w:rPr/>
        <w:t xml:space="preserve">EMERGENCY LIGHTING</w:t>
      </w:r>
      <w:bookmarkEnd w:id="421"/>
    </w:p>
    <w:bookmarkEnd w:id="420"/>
    <w:bookmarkStart w:name="f-10701-84" w:id="422"/>
    <w:p>
      <w:pPr>
        <w:pStyle w:val="Heading4"/>
      </w:pPr>
      <w:bookmarkStart w:name="h-10701-84" w:id="423"/>
      <w:r>
        <w:rPr/>
        <w:t xml:space="preserve">General</w:t>
      </w:r>
      <w:bookmarkEnd w:id="423"/>
    </w:p>
    <w:p>
      <w:pPr>
        <w:pStyle w:val="Body Text"/>
      </w:pPr>
      <w:r>
        <w:rPr/>
        <w:t xml:space="preserve">Location: Provide an emergency light within each cool room adjacent to the exit door, positioned to illuminate the emergency door release mechanism, alarm and emergency instructions.</w:t>
      </w:r>
    </w:p>
    <w:bookmarkEnd w:id="422"/>
    <w:bookmarkStart w:name="f-10701-85" w:id="424"/>
    <w:p>
      <w:pPr>
        <w:pStyle w:val="Heading4"/>
      </w:pPr>
      <w:bookmarkStart w:name="h-10701-85" w:id="425"/>
      <w:r>
        <w:rPr/>
        <w:t xml:space="preserve">Luminaires</w:t>
      </w:r>
      <w:bookmarkEnd w:id="425"/>
    </w:p>
    <w:p>
      <w:pPr>
        <w:pStyle w:val="Instructions"/>
      </w:pPr>
      <w:r>
        <w:rPr/>
        <w:t xml:space="preserve">The contractor is responsible for locating the single point luminaires for conformance to AS/NZS 2293.3 (2018).</w:t>
      </w:r>
    </w:p>
    <w:p>
      <w:pPr>
        <w:pStyle w:val="Body Text"/>
      </w:pPr>
      <w:r>
        <w:rPr/>
        <w:t xml:space="preserve">Type: A non‑maintained, surface mounted weatherproof luminaire, fitted with LED lamp, with non‑corrosive body and one piece polycarbonate diffuser cover, separated by a neoprene gasket and suitable for an operating temperature range of ‑40°C to 40°C provided with remote control gear and battery pack.</w:t>
      </w:r>
    </w:p>
    <w:p>
      <w:pPr>
        <w:pStyle w:val="Body Text"/>
      </w:pPr>
      <w:r>
        <w:rPr/>
        <w:t xml:space="preserve">Degree of protection: Minimum IP65 to AS 60529 (2025). Seal all wiring entries.</w:t>
      </w:r>
    </w:p>
    <w:p>
      <w:pPr>
        <w:pStyle w:val="Body Text"/>
      </w:pPr>
      <w:r>
        <w:rPr/>
        <w:t xml:space="preserve">Switching: Power the emergency light from the remote emergency lighting battery supply, to operate automatically in the event of mains power supply failure to the cool room lighting circuit.</w:t>
      </w:r>
    </w:p>
    <w:p>
      <w:pPr>
        <w:pStyle w:val="Body Text"/>
      </w:pPr>
      <w:r>
        <w:rPr/>
        <w:t xml:space="preserve">Visual indicator lights: Provide a status indicator, readily visible when the luminaire is in its operating location, which indicates that the battery is being charged.</w:t>
      </w:r>
    </w:p>
    <w:p>
      <w:pPr>
        <w:pStyle w:val="Body Text"/>
      </w:pPr>
      <w:r>
        <w:rPr/>
        <w:t xml:space="preserve">Local test switches: Provide a momentary action test switch, accessible by removing the diffuser cover within each luminaire to temporarily disconnect the mains supply and connect the battery to the LED lamp(s).</w:t>
      </w:r>
    </w:p>
    <w:p>
      <w:pPr>
        <w:pStyle w:val="Body Text"/>
      </w:pPr>
      <w:r>
        <w:rPr/>
        <w:t xml:space="preserve">Common test switches: Provide a common emergency lighting test unit at the local distribution board to disconnect the main supply to the cool room luminaires to test discharge performance to AS/NZS 2293.1 (2018). Configure to automatically revert to normal operating mode on completion of the discharge performance test.</w:t>
      </w:r>
    </w:p>
    <w:bookmarkEnd w:id="424"/>
    <w:bookmarkStart w:name="f-10701-86" w:id="426"/>
    <w:p>
      <w:pPr>
        <w:pStyle w:val="Heading4"/>
      </w:pPr>
      <w:bookmarkStart w:name="h-10701-86" w:id="427"/>
      <w:r>
        <w:rPr/>
        <w:t xml:space="preserve">Batteries</w:t>
      </w:r>
      <w:bookmarkEnd w:id="427"/>
    </w:p>
    <w:p>
      <w:pPr>
        <w:pStyle w:val="Body Text"/>
      </w:pPr>
      <w:r>
        <w:rPr/>
        <w:t xml:space="preserve">Location: Locate batteries outside the cool room.</w:t>
      </w:r>
    </w:p>
    <w:p>
      <w:pPr>
        <w:pStyle w:val="Body Text"/>
      </w:pPr>
      <w:r>
        <w:rPr/>
        <w:t xml:space="preserve">Type: Lithium nanophosphate or lithium iron phosphate batteries capable of operating each LED lamp at its rated output continuously at least 2 hours during final commissioning, pre‑practical completion tests and 1.5 hours during subsequent tests.</w:t>
      </w:r>
    </w:p>
    <w:p>
      <w:pPr>
        <w:pStyle w:val="Body Text"/>
      </w:pPr>
      <w:r>
        <w:rPr/>
        <w:t xml:space="preserve">Battery life: At least 10 years when operating under normal conditions at an ambient temperature of 25ºC and subjected to charging and discharging at 6 monthly intervals.</w:t>
      </w:r>
    </w:p>
    <w:p>
      <w:pPr>
        <w:pStyle w:val="Instructions"/>
      </w:pPr>
      <w:r>
        <w:rPr/>
        <w:t xml:space="preserve">See AS/NZS 2293.2 (2019) for system checks.</w:t>
      </w:r>
    </w:p>
    <w:p>
      <w:pPr>
        <w:pStyle w:val="Body Text"/>
      </w:pPr>
      <w:r>
        <w:rPr/>
        <w:t xml:space="preserve">Marking: Indelibly mark each battery with its date of manufacture.</w:t>
      </w:r>
    </w:p>
    <w:p>
      <w:pPr>
        <w:pStyle w:val="Instructions"/>
      </w:pPr>
      <w:r>
        <w:rPr/>
        <w:t xml:space="preserve">See also AS/NZS 2293.1 (2018) clause 6.4.8.</w:t>
      </w:r>
    </w:p>
    <w:bookmarkEnd w:id="426"/>
    <w:bookmarkStart w:name="f-10701-10701.8" w:id="428"/>
    <w:p>
      <w:pPr>
        <w:pStyle w:val="Heading4"/>
      </w:pPr>
      <w:bookmarkStart w:name="h-10701-10701.8" w:id="429"/>
      <w:r>
        <w:rPr/>
        <w:t xml:space="preserve">Installation – control gear, charger and battery pack</w:t>
      </w:r>
      <w:bookmarkEnd w:id="429"/>
    </w:p>
    <w:p>
      <w:pPr>
        <w:pStyle w:val="Body Text"/>
      </w:pPr>
      <w:r>
        <w:rPr/>
        <w:t xml:space="preserve">Mounting: Securely mount the emergency lighting equipment in a separate enclosure with hinged door, of the same construction as the control board, attached to and mounted near the control board. Provide a label on the door EMERGENCY LIGHTING AND OTHER EQUIPMENT.</w:t>
      </w:r>
    </w:p>
    <w:p>
      <w:pPr>
        <w:pStyle w:val="Body Text"/>
      </w:pPr>
      <w:r>
        <w:rPr/>
        <w:t xml:space="preserve">Connection: Polarise the connections from the charger to the battery, and between the battery and load, or clearly mark to prevent reverse connection.</w:t>
      </w:r>
    </w:p>
    <w:bookmarkEnd w:id="428"/>
    <w:bookmarkStart w:name="f-10701-10701.9" w:id="430"/>
    <w:p>
      <w:pPr>
        <w:pStyle w:val="Heading4"/>
      </w:pPr>
      <w:bookmarkStart w:name="h-10701-10701.9" w:id="431"/>
      <w:r>
        <w:rPr/>
        <w:t xml:space="preserve">Label</w:t>
      </w:r>
      <w:bookmarkEnd w:id="431"/>
    </w:p>
    <w:p>
      <w:pPr>
        <w:pStyle w:val="Body Text"/>
      </w:pPr>
      <w:r>
        <w:rPr/>
        <w:t xml:space="preserve">Battery installation/replacement date: Attach a stamped metal tag to the battery indicating the installation date and advised replacement date to the battery manufacturer's recommendations.</w:t>
      </w:r>
    </w:p>
    <w:bookmarkEnd w:id="430"/>
    <w:bookmarkStart w:name="f-10701-87" w:id="432"/>
    <w:p>
      <w:pPr>
        <w:pStyle w:val="Heading4"/>
      </w:pPr>
      <w:bookmarkStart w:name="h-10701-87" w:id="433"/>
      <w:r>
        <w:rPr/>
        <w:t xml:space="preserve">Power supply</w:t>
      </w:r>
      <w:bookmarkEnd w:id="433"/>
    </w:p>
    <w:p>
      <w:pPr>
        <w:pStyle w:val="Body Text"/>
      </w:pPr>
      <w:r>
        <w:rPr/>
        <w:t xml:space="preserve">General: Provide an unswitched active supply to remote control gear/batteries for each emergency luminaire.</w:t>
      </w:r>
    </w:p>
    <w:bookmarkEnd w:id="432"/>
    <w:bookmarkStart w:name="f-10701-88" w:id="434"/>
    <w:p>
      <w:pPr>
        <w:pStyle w:val="Heading3"/>
      </w:pPr>
      <w:bookmarkStart w:name="h-10701-88" w:id="435"/>
      <w:r>
        <w:rPr/>
        <w:t xml:space="preserve">PERSONNEL SAFETY ALARM</w:t>
      </w:r>
      <w:bookmarkEnd w:id="435"/>
    </w:p>
    <w:p>
      <w:pPr>
        <w:pStyle w:val="Instructions"/>
      </w:pPr>
      <w:r>
        <w:rPr/>
        <w:t xml:space="preserve">Make sure that personnel safety conforms to local Work Health and Safety requirements.</w:t>
      </w:r>
    </w:p>
    <w:bookmarkEnd w:id="434"/>
    <w:bookmarkStart w:name="f-10701-89" w:id="436"/>
    <w:p>
      <w:pPr>
        <w:pStyle w:val="Heading4"/>
      </w:pPr>
      <w:bookmarkStart w:name="h-10701-89" w:id="437"/>
      <w:r>
        <w:rPr/>
        <w:t xml:space="preserve">Alarm</w:t>
      </w:r>
      <w:bookmarkEnd w:id="437"/>
    </w:p>
    <w:p>
      <w:pPr>
        <w:pStyle w:val="Body Text"/>
      </w:pPr>
      <w:r>
        <w:rPr/>
        <w:t xml:space="preserve">Requirement: Provide each cool room with a personnel safety alarm consisting of an emergency pushbutton switch within cool room and an external audible alarm with indicator light as follows:</w:t>
      </w:r>
    </w:p>
    <w:p>
      <w:pPr>
        <w:pStyle w:val="NormalIndent"/>
      </w:pPr>
      <w:r>
        <w:rPr/>
        <w:t xml:space="preserve">Emergency switch: Mechanical illuminated latching mushroom type located in cool room adjacent to the exit door and suitable for use at the cool room operating temperature. Minimum IP65 to AS 60529 (2025). Seal all writing entries</w:t>
      </w:r>
    </w:p>
    <w:p>
      <w:pPr>
        <w:pStyle w:val="NormalIndent"/>
      </w:pPr>
      <w:r>
        <w:rPr/>
        <w:t xml:space="preserve">Audible alarm: Bell or siren type located above (outside) the cool room door. Alarm to be silenced by reversing the emergency switch.</w:t>
      </w:r>
    </w:p>
    <w:p>
      <w:pPr>
        <w:pStyle w:val="NormalIndent"/>
      </w:pPr>
      <w:r>
        <w:rPr/>
        <w:t xml:space="preserve">Indicator light: Flashing red, ≥ 50 mm diameter, located outside and above the cool room door.</w:t>
      </w:r>
    </w:p>
    <w:p>
      <w:pPr>
        <w:pStyle w:val="NormalIndent"/>
      </w:pPr>
      <w:r>
        <w:rPr/>
        <w:t xml:space="preserve">Label the light: PERSON TRAPPED IN COOL ROOM.</w:t>
      </w:r>
    </w:p>
    <w:bookmarkEnd w:id="436"/>
    <w:bookmarkStart w:name="f-10701-10701.10" w:id="438"/>
    <w:p>
      <w:pPr>
        <w:pStyle w:val="Heading3"/>
      </w:pPr>
      <w:bookmarkStart w:name="h-10701-10701.10" w:id="439"/>
      <w:r>
        <w:rPr/>
        <w:t xml:space="preserve">BATTERY SUPPLY ‑ PERSONNEL SAFETY ALARMS</w:t>
      </w:r>
      <w:bookmarkEnd w:id="439"/>
    </w:p>
    <w:bookmarkEnd w:id="438"/>
    <w:bookmarkStart w:name="f-10701-74" w:id="440"/>
    <w:p>
      <w:pPr>
        <w:pStyle w:val="Heading4"/>
      </w:pPr>
      <w:bookmarkStart w:name="h-10701-74" w:id="441"/>
      <w:r>
        <w:rPr/>
        <w:t xml:space="preserve">General</w:t>
      </w:r>
      <w:bookmarkEnd w:id="441"/>
    </w:p>
    <w:p>
      <w:pPr>
        <w:pStyle w:val="Body Text"/>
      </w:pPr>
      <w:r>
        <w:rPr/>
        <w:t xml:space="preserve">Requirement: Provide a mains powered battery charger and battery to serve the personnel safety alarms, independent of all other emergency power supplies within the building.</w:t>
      </w:r>
    </w:p>
    <w:bookmarkEnd w:id="440"/>
    <w:bookmarkStart w:name="f-10701-75" w:id="442"/>
    <w:p>
      <w:pPr>
        <w:pStyle w:val="Heading4"/>
      </w:pPr>
      <w:bookmarkStart w:name="h-10701-75" w:id="443"/>
      <w:r>
        <w:rPr/>
        <w:t xml:space="preserve">Batteries</w:t>
      </w:r>
      <w:bookmarkEnd w:id="443"/>
    </w:p>
    <w:p>
      <w:pPr>
        <w:pStyle w:val="Body Text"/>
      </w:pPr>
      <w:r>
        <w:rPr/>
        <w:t xml:space="preserve">Type: Provide maintenance free, sealed, lithium iron phosphate type batteries 12 volt or 24 volt.</w:t>
      </w:r>
    </w:p>
    <w:p>
      <w:pPr>
        <w:pStyle w:val="Body Text"/>
      </w:pPr>
      <w:r>
        <w:rPr/>
        <w:t xml:space="preserve">Battery capacity: 7 Ah or sufficient to run all alarm monitoring systems for 2 hours, whichever is the greater.</w:t>
      </w:r>
    </w:p>
    <w:bookmarkEnd w:id="442"/>
    <w:bookmarkStart w:name="f-10701-76" w:id="444"/>
    <w:p>
      <w:pPr>
        <w:pStyle w:val="Heading4"/>
      </w:pPr>
      <w:bookmarkStart w:name="h-10701-76" w:id="445"/>
      <w:r>
        <w:rPr/>
        <w:t xml:space="preserve">Battery charger</w:t>
      </w:r>
      <w:bookmarkEnd w:id="445"/>
    </w:p>
    <w:p>
      <w:pPr>
        <w:pStyle w:val="Body Text"/>
      </w:pPr>
      <w:r>
        <w:rPr/>
        <w:t xml:space="preserve">Type: Provide a battery charger suitable for continuous float charge use in conformance with the battery manufacturer's recommendations.</w:t>
      </w:r>
    </w:p>
    <w:p>
      <w:pPr>
        <w:pStyle w:val="Body Text"/>
      </w:pPr>
      <w:r>
        <w:rPr/>
        <w:t xml:space="preserve">Charging current: Suitable for battery capacity selected. Incorporate individual connections for battery and load output with a re‑settable current overload protection device, with visual device incorporated in the charger.</w:t>
      </w:r>
    </w:p>
    <w:p>
      <w:pPr>
        <w:pStyle w:val="Body Text"/>
      </w:pPr>
      <w:r>
        <w:rPr/>
        <w:t xml:space="preserve">Inverter system: Provide step‑up DC to AC inverter system where personnel safety alarm system operates using 230 Volts AC.</w:t>
      </w:r>
    </w:p>
    <w:p>
      <w:pPr>
        <w:pStyle w:val="Instructions"/>
      </w:pPr>
      <w:r>
        <w:rPr/>
        <w:t xml:space="preserve">Edit details to suit the project requirements.</w:t>
      </w:r>
    </w:p>
    <w:bookmarkEnd w:id="444"/>
    <w:bookmarkStart w:name="f-10701-77" w:id="446"/>
    <w:p>
      <w:pPr>
        <w:pStyle w:val="Heading4"/>
      </w:pPr>
      <w:bookmarkStart w:name="h-10701-77" w:id="447"/>
      <w:r>
        <w:rPr/>
        <w:t xml:space="preserve">Installation</w:t>
      </w:r>
      <w:bookmarkEnd w:id="447"/>
    </w:p>
    <w:p>
      <w:pPr>
        <w:pStyle w:val="Body Text"/>
      </w:pPr>
      <w:r>
        <w:rPr/>
        <w:t xml:space="preserve">Mounting: Securely mount the charger and battery in a separate enclosure with hinged door, of the same construction as the control board, attached to and mounted near the control board. Provide a label on the door PERSONNEL SAFETY ALARMS AND OTHER EQUIPMENT. This enclosure is to also house the evaporator fans shutdown control equipment.</w:t>
      </w:r>
    </w:p>
    <w:p>
      <w:pPr>
        <w:pStyle w:val="Body Text"/>
      </w:pPr>
      <w:r>
        <w:rPr/>
        <w:t xml:space="preserve">Connection: Polarise the connections from the charger to the battery, and between the battery and load, or clearly mark to prevent reverse connection.</w:t>
      </w:r>
    </w:p>
    <w:bookmarkEnd w:id="446"/>
    <w:bookmarkStart w:name="f-10701-78" w:id="448"/>
    <w:p>
      <w:pPr>
        <w:pStyle w:val="Heading4"/>
      </w:pPr>
      <w:bookmarkStart w:name="h-10701-78" w:id="449"/>
      <w:r>
        <w:rPr/>
        <w:t xml:space="preserve">Label</w:t>
      </w:r>
      <w:bookmarkEnd w:id="449"/>
    </w:p>
    <w:p>
      <w:pPr>
        <w:pStyle w:val="Body Text"/>
      </w:pPr>
      <w:r>
        <w:rPr/>
        <w:t xml:space="preserve">Battery installation/replacement date: Attach a stamped metal tag to the battery indicating the installation date and advised replacement date to the battery manufacturer's recommendations.</w:t>
      </w:r>
    </w:p>
    <w:bookmarkEnd w:id="448"/>
    <w:bookmarkStart w:name="f-10701-90" w:id="450"/>
    <w:p>
      <w:pPr>
        <w:pStyle w:val="Heading3"/>
      </w:pPr>
      <w:bookmarkStart w:name="h-10701-90" w:id="451"/>
      <w:r>
        <w:rPr/>
        <w:t xml:space="preserve">CONTROLS GENERALLY</w:t>
      </w:r>
      <w:bookmarkEnd w:id="451"/>
    </w:p>
    <w:bookmarkEnd w:id="450"/>
    <w:bookmarkStart w:name="f-10701-91" w:id="452"/>
    <w:p>
      <w:pPr>
        <w:pStyle w:val="Heading4"/>
      </w:pPr>
      <w:bookmarkStart w:name="h-10701-91" w:id="453"/>
      <w:r>
        <w:rPr/>
        <w:t xml:space="preserve">General</w:t>
      </w:r>
      <w:bookmarkEnd w:id="453"/>
    </w:p>
    <w:p>
      <w:pPr>
        <w:pStyle w:val="Body Text"/>
      </w:pPr>
      <w:r>
        <w:rPr/>
        <w:t xml:space="preserve">Controls: To </w:t>
      </w:r>
      <w:r>
        <w:rPr>
          <w:i/>
        </w:rPr>
        <w:t xml:space="preserve">0771 Automatic controls</w:t>
      </w:r>
      <w:r>
        <w:rPr/>
        <w:t xml:space="preserve">.</w:t>
      </w:r>
    </w:p>
    <w:bookmarkEnd w:id="452"/>
    <w:bookmarkStart w:name="f-10701-92" w:id="454"/>
    <w:p>
      <w:pPr>
        <w:pStyle w:val="Heading4"/>
      </w:pPr>
      <w:bookmarkStart w:name="h-10701-92" w:id="455"/>
      <w:r>
        <w:rPr/>
        <w:t xml:space="preserve">Control module</w:t>
      </w:r>
      <w:bookmarkEnd w:id="455"/>
    </w:p>
    <w:p>
      <w:pPr>
        <w:pStyle w:val="Body Text"/>
      </w:pPr>
      <w:r>
        <w:rPr/>
        <w:t xml:space="preserve">General: Provide a microprocessor‑based electronic control module, to monitor and control each cool room and its refrigeration system. Locate each control module outside the cool room it serves. Provide the following functions:</w:t>
      </w:r>
    </w:p>
    <w:p>
      <w:pPr>
        <w:pStyle w:val="NormalIndent"/>
      </w:pPr>
      <w:r>
        <w:rPr/>
        <w:t xml:space="preserve">Control the cool room temperature.</w:t>
      </w:r>
    </w:p>
    <w:p>
      <w:pPr>
        <w:pStyle w:val="NormalIndent"/>
      </w:pPr>
      <w:r>
        <w:rPr/>
        <w:t xml:space="preserve">Adjustable set point and control differential.</w:t>
      </w:r>
    </w:p>
    <w:p>
      <w:pPr>
        <w:pStyle w:val="NormalIndent"/>
      </w:pPr>
      <w:r>
        <w:rPr/>
        <w:t xml:space="preserve">Measure, log (hourly) and display the cool room temperature.</w:t>
      </w:r>
    </w:p>
    <w:p>
      <w:pPr>
        <w:pStyle w:val="NormalIndent"/>
      </w:pPr>
      <w:r>
        <w:rPr/>
        <w:t xml:space="preserve">Display highest and lowest room temperature logs for period.</w:t>
      </w:r>
    </w:p>
    <w:p>
      <w:pPr>
        <w:pStyle w:val="NormalIndent"/>
      </w:pPr>
      <w:r>
        <w:rPr/>
        <w:t xml:space="preserve">Sensor calibration.</w:t>
      </w:r>
    </w:p>
    <w:p>
      <w:pPr>
        <w:pStyle w:val="NormalIndent"/>
      </w:pPr>
      <w:r>
        <w:rPr/>
        <w:t xml:space="preserve">High room temperature alarm.</w:t>
      </w:r>
    </w:p>
    <w:p>
      <w:pPr>
        <w:pStyle w:val="NormalIndent"/>
      </w:pPr>
      <w:r>
        <w:rPr/>
        <w:t xml:space="preserve">Automatic duty/standby change over for cool rooms with duty/standby systems.</w:t>
      </w:r>
    </w:p>
    <w:p>
      <w:pPr>
        <w:pStyle w:val="NormalIndent"/>
      </w:pPr>
      <w:r>
        <w:rPr/>
        <w:t xml:space="preserve">Alarm outputs.</w:t>
      </w:r>
    </w:p>
    <w:p>
      <w:pPr>
        <w:pStyle w:val="NormalIndent"/>
      </w:pPr>
      <w:r>
        <w:rPr/>
        <w:t xml:space="preserve">Phase failure relay.</w:t>
      </w:r>
    </w:p>
    <w:p>
      <w:pPr>
        <w:pStyle w:val="NormalIndent"/>
      </w:pPr>
      <w:r>
        <w:rPr/>
        <w:t xml:space="preserve">Automatic defrost cycle control.</w:t>
      </w:r>
    </w:p>
    <w:p>
      <w:pPr>
        <w:pStyle w:val="NormalIndent"/>
      </w:pPr>
      <w:r>
        <w:rPr/>
        <w:t xml:space="preserve">Defrost cycle sequencing to prevent simultaneous defrost if the cool room has multiple refrigeration systems.</w:t>
      </w:r>
    </w:p>
    <w:p>
      <w:pPr>
        <w:pStyle w:val="NormalIndent"/>
      </w:pPr>
      <w:r>
        <w:rPr/>
        <w:t xml:space="preserve">Separate fuses for each evaporator.</w:t>
      </w:r>
    </w:p>
    <w:p>
      <w:pPr>
        <w:pStyle w:val="NormalIndent"/>
      </w:pPr>
      <w:r>
        <w:rPr/>
        <w:t xml:space="preserve">Manual defrost initiate and termination.</w:t>
      </w:r>
    </w:p>
    <w:p>
      <w:pPr>
        <w:pStyle w:val="NormalIndent"/>
      </w:pPr>
      <w:r>
        <w:rPr/>
        <w:t xml:space="preserve">Display time to next defrost and time from last defrost.</w:t>
      </w:r>
    </w:p>
    <w:p>
      <w:pPr>
        <w:pStyle w:val="NormalIndent"/>
      </w:pPr>
      <w:r>
        <w:rPr/>
        <w:t xml:space="preserve">Anti‑short cycle adjustable timer limits compressor starts per hour.</w:t>
      </w:r>
    </w:p>
    <w:p>
      <w:pPr>
        <w:pStyle w:val="NormalIndent"/>
      </w:pPr>
      <w:r>
        <w:rPr/>
        <w:t xml:space="preserve">Self‑test function.</w:t>
      </w:r>
    </w:p>
    <w:p>
      <w:pPr>
        <w:pStyle w:val="NormalIndent"/>
      </w:pPr>
      <w:r>
        <w:rPr/>
        <w:t xml:space="preserve">Memory retention in the event of power failure.</w:t>
      </w:r>
    </w:p>
    <w:p>
      <w:pPr>
        <w:pStyle w:val="Instructions"/>
      </w:pPr>
      <w:r>
        <w:rPr/>
        <w:t xml:space="preserve">Consider location of the control module. Possible arrangements are flush‑mounted on the fascia of the fixed panel above the door of the control board or surface‑mounted adjacent to the cool room door.</w:t>
      </w:r>
    </w:p>
    <w:bookmarkEnd w:id="454"/>
    <w:bookmarkStart w:name="f-10701-10701.12" w:id="456"/>
    <w:p>
      <w:pPr>
        <w:pStyle w:val="Heading4"/>
      </w:pPr>
      <w:bookmarkStart w:name="h-10701-10701.12" w:id="457"/>
      <w:r>
        <w:rPr/>
        <w:t xml:space="preserve">Evaporator fans shutdown</w:t>
      </w:r>
      <w:bookmarkEnd w:id="457"/>
    </w:p>
    <w:p>
      <w:pPr>
        <w:pStyle w:val="Body Text"/>
      </w:pPr>
      <w:r>
        <w:rPr/>
        <w:t xml:space="preserve">Requirement: Provide a labelled FANS ON/OFF control momentary switch on the inside of each cool room adjacent to the door, to shut down the evaporator fans and refrigerant solenoid valves.</w:t>
      </w:r>
    </w:p>
    <w:p>
      <w:pPr>
        <w:pStyle w:val="Body Text"/>
      </w:pPr>
      <w:r>
        <w:rPr/>
        <w:t xml:space="preserve">Control switch degree of protection: IP66 to AS 60529 (2025). Seal all wiring entries.</w:t>
      </w:r>
    </w:p>
    <w:p>
      <w:pPr>
        <w:pStyle w:val="Body Text"/>
      </w:pPr>
      <w:r>
        <w:rPr/>
        <w:t xml:space="preserve">Adjustable “Delay Off” timer unit: Provide an adjustable “Delay‑Off” timer control unit, triggered by a change of state from off‑to‑on (switch later returning to the off state), resulting in a preset 30 minute‑on period. Mount equipment in the enclosure labelled PERSONNEL SAFETY ALARMS AND OTHER EQUIPMENT located near the control board.</w:t>
      </w:r>
    </w:p>
    <w:p>
      <w:pPr>
        <w:pStyle w:val="Body Text"/>
      </w:pPr>
      <w:r>
        <w:rPr/>
        <w:t xml:space="preserve">Pilot light: Provide a pilot light on the outside of the cool room with labelling to indicate the evaporator fans OVER‑RIDE CONTROL OPERATIONAL.</w:t>
      </w:r>
    </w:p>
    <w:bookmarkEnd w:id="456"/>
    <w:bookmarkStart w:name="f-10701-93" w:id="458"/>
    <w:p>
      <w:pPr>
        <w:pStyle w:val="Heading4"/>
      </w:pPr>
      <w:bookmarkStart w:name="h-10701-93" w:id="459"/>
      <w:r>
        <w:rPr/>
        <w:t xml:space="preserve">Temperature control</w:t>
      </w:r>
      <w:bookmarkEnd w:id="459"/>
    </w:p>
    <w:p>
      <w:pPr>
        <w:pStyle w:val="Body Text"/>
      </w:pPr>
      <w:r>
        <w:rPr/>
        <w:t xml:space="preserve">Control accuracy: Maintain the required room temperature within ±0.5 K of set point.</w:t>
      </w:r>
    </w:p>
    <w:p>
      <w:pPr>
        <w:pStyle w:val="Body Text"/>
      </w:pPr>
      <w:r>
        <w:rPr/>
        <w:t xml:space="preserve">Evaporator fans: To run continuously during normal (non‑defrost) operation.</w:t>
      </w:r>
    </w:p>
    <w:bookmarkEnd w:id="458"/>
    <w:bookmarkStart w:name="f-10701-94" w:id="460"/>
    <w:p>
      <w:pPr>
        <w:pStyle w:val="Heading4"/>
      </w:pPr>
      <w:bookmarkStart w:name="h-10701-94" w:id="461"/>
      <w:r>
        <w:rPr/>
        <w:t xml:space="preserve">Defrost cycle</w:t>
      </w:r>
      <w:bookmarkEnd w:id="461"/>
    </w:p>
    <w:p>
      <w:pPr>
        <w:pStyle w:val="Body Text"/>
      </w:pPr>
      <w:r>
        <w:rPr/>
        <w:t xml:space="preserve">Room operating temperature &gt; 0°C: Provide a defrost cycle controlled by the electronic control module, with time initiation and evaporator temperature termination. Run evaporative fans continuously during defrost.</w:t>
      </w:r>
    </w:p>
    <w:p>
      <w:pPr>
        <w:pStyle w:val="Body Text"/>
      </w:pPr>
      <w:r>
        <w:rPr/>
        <w:t xml:space="preserve">Room operating temperature ≤ 0°C: Provide a defrost cycle controlled by the electronic control module, time initiated and evaporator temperature terminated. De‑energise the evaporator fan during the defrost cycle and delay it from restarting on termination of the defrost cycle until the evaporator reaches operating temperature.</w:t>
      </w:r>
    </w:p>
    <w:bookmarkEnd w:id="460"/>
    <w:bookmarkStart w:name="f-10701-95" w:id="462"/>
    <w:p>
      <w:pPr>
        <w:pStyle w:val="Heading4"/>
      </w:pPr>
      <w:bookmarkStart w:name="h-10701-95" w:id="463"/>
      <w:r>
        <w:rPr/>
        <w:t xml:space="preserve">Room door interlock</w:t>
      </w:r>
      <w:bookmarkEnd w:id="463"/>
    </w:p>
    <w:p>
      <w:pPr>
        <w:pStyle w:val="Body Text"/>
      </w:pPr>
      <w:r>
        <w:rPr/>
        <w:t xml:space="preserve">Requirement: Provide a switch to activate a contactor when the door is opened so that:</w:t>
      </w:r>
    </w:p>
    <w:p>
      <w:pPr>
        <w:pStyle w:val="NormalIndent"/>
      </w:pPr>
      <w:r>
        <w:rPr/>
        <w:t xml:space="preserve">Service lighting within the cool room is switched on, and will remain on until the door is closed. Wire this door interlock switch to be in parallel with the internal cool room lighting control switch. Ensure no other interposing switch/contactor is inserted into the internal cool room lighting control switch wire.</w:t>
      </w:r>
    </w:p>
    <w:p>
      <w:pPr>
        <w:pStyle w:val="NormalIndent"/>
      </w:pPr>
      <w:r>
        <w:rPr/>
        <w:t xml:space="preserve">Evaporator fans are refrigerant solenoid valves are switched off by the evaporator fans shutdown control. “Delay Off” timer control unit. Wire this door interlock switch to also trigger the preset 30 minute‑on period and pilot light operation.</w:t>
      </w:r>
    </w:p>
    <w:p>
      <w:pPr>
        <w:pStyle w:val="Body Text"/>
      </w:pPr>
      <w:r>
        <w:rPr/>
        <w:t xml:space="preserve">Mount equipment in the enclosure labelled PERSONNEL SAFETY ALARMS AND OTHER EQUIPMENT located near the control board.</w:t>
      </w:r>
    </w:p>
    <w:bookmarkEnd w:id="462"/>
    <w:bookmarkStart w:name="f-10701-96" w:id="464"/>
    <w:p>
      <w:pPr>
        <w:pStyle w:val="Heading4"/>
      </w:pPr>
      <w:bookmarkStart w:name="h-10701-96" w:id="465"/>
      <w:r>
        <w:rPr/>
        <w:t xml:space="preserve">Installation protection</w:t>
      </w:r>
      <w:bookmarkEnd w:id="465"/>
    </w:p>
    <w:p>
      <w:pPr>
        <w:pStyle w:val="Body Text"/>
      </w:pPr>
      <w:r>
        <w:rPr/>
        <w:t xml:space="preserve">Requirement: Provide the following:</w:t>
      </w:r>
    </w:p>
    <w:p>
      <w:pPr>
        <w:pStyle w:val="NormalIndent"/>
      </w:pPr>
      <w:r>
        <w:rPr/>
        <w:t xml:space="preserve">Motor thermal overload.</w:t>
      </w:r>
    </w:p>
    <w:p>
      <w:pPr>
        <w:pStyle w:val="NormalIndent"/>
      </w:pPr>
      <w:r>
        <w:rPr/>
        <w:t xml:space="preserve">Manually reset low and high pressure cutouts.</w:t>
      </w:r>
    </w:p>
    <w:p>
      <w:pPr>
        <w:pStyle w:val="NormalIndent"/>
      </w:pPr>
      <w:r>
        <w:rPr/>
        <w:t xml:space="preserve">Separate fuses for multiple evaporator fans.</w:t>
      </w:r>
    </w:p>
    <w:bookmarkEnd w:id="464"/>
    <w:bookmarkStart w:name="f-10701-97" w:id="466"/>
    <w:p>
      <w:pPr>
        <w:pStyle w:val="Heading4"/>
      </w:pPr>
      <w:bookmarkStart w:name="h-10701-97" w:id="467"/>
      <w:r>
        <w:rPr/>
        <w:t xml:space="preserve">BMS interface</w:t>
      </w:r>
      <w:bookmarkEnd w:id="467"/>
    </w:p>
    <w:p>
      <w:pPr>
        <w:pStyle w:val="Body Text"/>
      </w:pPr>
      <w:r>
        <w:rPr/>
        <w:t xml:space="preserve">BMS points: Provide the alarm and monitoring points to interface with the BMS.</w:t>
      </w:r>
    </w:p>
    <w:p>
      <w:pPr>
        <w:pStyle w:val="Instructions"/>
      </w:pPr>
      <w:r>
        <w:rPr/>
        <w:t xml:space="preserve">Include BMS points in the </w:t>
      </w:r>
      <w:r>
        <w:rPr>
          <w:b/>
        </w:rPr>
        <w:t xml:space="preserve">Cool room BMS points schedule</w:t>
      </w:r>
      <w:r>
        <w:rPr/>
        <w:t xml:space="preserve"> or show on the drawings. Coordinate the BMS interface with </w:t>
      </w:r>
      <w:r>
        <w:rPr>
          <w:i/>
        </w:rPr>
        <w:t xml:space="preserve">0773 Building management systems</w:t>
      </w:r>
      <w:r>
        <w:rPr>
          <w:i/>
        </w:rPr>
        <w:t xml:space="preserve">.</w:t>
      </w:r>
      <w:r>
        <w:rPr/>
        <w:t xml:space="preserve"> Refer to that worksection for interface issues such as interoperability, e.g. via ANSI/ASHRAE 135 (2024) (BACnet) compliance.</w:t>
      </w:r>
    </w:p>
    <w:p>
      <w:pPr>
        <w:pStyle w:val="Instructions"/>
      </w:pPr>
      <w:r>
        <w:rPr>
          <w:b/>
        </w:rPr>
        <w:t xml:space="preserve">DIGITAL SYSTEM CONTROLLER INTERFACE </w:t>
      </w:r>
      <w:r>
        <w:rPr/>
        <w:t xml:space="preserve">in </w:t>
      </w:r>
      <w:r>
        <w:rPr>
          <w:i/>
        </w:rPr>
        <w:t xml:space="preserve">0771 Automatic controls</w:t>
      </w:r>
      <w:r>
        <w:rPr/>
        <w:t xml:space="preserve"> may be used as a basis for specifying the interface in this worksection.</w:t>
      </w:r>
    </w:p>
    <w:p>
      <w:pPr>
        <w:pStyle w:val="Body Text"/>
      </w:pPr>
      <w:r>
        <w:rPr/>
        <w:t xml:space="preserve">Connection: Provide voltage‑free contacts wired to a dedicated terminal strip in the respective cool room switchboard.</w:t>
      </w:r>
    </w:p>
    <w:p>
      <w:pPr>
        <w:pStyle w:val="Instructions"/>
      </w:pPr>
      <w:r>
        <w:rPr/>
        <w:t xml:space="preserve">Coordinate with </w:t>
      </w:r>
      <w:r>
        <w:rPr>
          <w:i/>
        </w:rPr>
        <w:t xml:space="preserve">0773 Building management systems</w:t>
      </w:r>
      <w:r>
        <w:rPr/>
        <w:t xml:space="preserve">.</w:t>
      </w:r>
    </w:p>
    <w:p>
      <w:pPr>
        <w:pStyle w:val="Body Text"/>
      </w:pPr>
      <w:r>
        <w:rPr/>
        <w:t xml:space="preserve">Independent operation: Arrange the interface so that failure or fault in the BMS does not render the cool room installation inoperative in any way.</w:t>
      </w:r>
    </w:p>
    <w:bookmarkEnd w:id="466"/>
    <w:bookmarkStart w:name="f-10701-98" w:id="468"/>
    <w:p>
      <w:pPr>
        <w:pStyle w:val="Heading3"/>
      </w:pPr>
      <w:bookmarkStart w:name="h-10701-98" w:id="469"/>
      <w:r>
        <w:rPr/>
        <w:t xml:space="preserve">CONTROLS FOR COOL ROOMS WITH DROP‑IN AND SLIDE‑IN SINGLE PACKAGED REFRIGERATION UNITS</w:t>
      </w:r>
      <w:bookmarkEnd w:id="469"/>
    </w:p>
    <w:bookmarkEnd w:id="468"/>
    <w:bookmarkStart w:name="f-10701-99" w:id="470"/>
    <w:p>
      <w:pPr>
        <w:pStyle w:val="Heading4"/>
      </w:pPr>
      <w:bookmarkStart w:name="h-10701-99" w:id="471"/>
      <w:r>
        <w:rPr/>
        <w:t xml:space="preserve">General</w:t>
      </w:r>
      <w:bookmarkEnd w:id="471"/>
    </w:p>
    <w:p>
      <w:pPr>
        <w:pStyle w:val="Body Text"/>
      </w:pPr>
      <w:r>
        <w:rPr/>
        <w:t xml:space="preserve">Control: If a drop‑in or slide‑in packaged refrigeration unit is documented for the cool room, provide the unit fully factory wired and complete with all refrigeration controls, other controls and safety features.</w:t>
      </w:r>
    </w:p>
    <w:p>
      <w:pPr>
        <w:pStyle w:val="Instructions"/>
      </w:pPr>
      <w:r>
        <w:rPr/>
        <w:t xml:space="preserve">Include refrigeration system type in the </w:t>
      </w:r>
      <w:r>
        <w:rPr>
          <w:b/>
        </w:rPr>
        <w:t xml:space="preserve">Cool room schedule</w:t>
      </w:r>
      <w:r>
        <w:rPr/>
        <w:t xml:space="preserve"> or show on the drawings.</w:t>
      </w:r>
    </w:p>
    <w:p>
      <w:pPr>
        <w:pStyle w:val="Body Text"/>
      </w:pPr>
      <w:r>
        <w:rPr/>
        <w:t xml:space="preserve">Thermometer: Provide a 100 mm dial thermometer to each cool room.</w:t>
      </w:r>
    </w:p>
    <w:p>
      <w:pPr>
        <w:pStyle w:val="Body Text"/>
      </w:pPr>
      <w:r>
        <w:rPr/>
        <w:t xml:space="preserve">Defrost: Incorporate electric defrost heaters in refrigeration units. Defrost to be time initiated, pressure or temperature terminated, with fail‑safe override and evaporator fan delay.</w:t>
      </w:r>
    </w:p>
    <w:bookmarkEnd w:id="470"/>
    <w:bookmarkStart w:name="f-10701-100" w:id="472"/>
    <w:p>
      <w:pPr>
        <w:pStyle w:val="Heading3"/>
      </w:pPr>
      <w:bookmarkStart w:name="h-10701-100" w:id="473"/>
      <w:r>
        <w:rPr/>
        <w:t xml:space="preserve">PAINTING AND LABELLING</w:t>
      </w:r>
      <w:bookmarkEnd w:id="473"/>
    </w:p>
    <w:bookmarkEnd w:id="472"/>
    <w:bookmarkStart w:name="f-10701-101" w:id="474"/>
    <w:p>
      <w:pPr>
        <w:pStyle w:val="Heading4"/>
      </w:pPr>
      <w:bookmarkStart w:name="h-10701-101" w:id="475"/>
      <w:r>
        <w:rPr/>
        <w:t xml:space="preserve">General</w:t>
      </w:r>
      <w:bookmarkEnd w:id="475"/>
    </w:p>
    <w:p>
      <w:pPr>
        <w:pStyle w:val="Body Text"/>
      </w:pPr>
      <w:r>
        <w:rPr/>
        <w:t xml:space="preserve">Requirement: Conform to </w:t>
      </w:r>
      <w:r>
        <w:rPr>
          <w:i/>
        </w:rPr>
        <w:t xml:space="preserve">0171 General requirements</w:t>
      </w:r>
      <w:r>
        <w:rPr/>
        <w:t xml:space="preserve">.</w:t>
      </w:r>
    </w:p>
    <w:bookmarkEnd w:id="474"/>
    <w:bookmarkStart w:name="f-10701-102" w:id="476"/>
    <w:p>
      <w:pPr>
        <w:pStyle w:val="Heading4"/>
      </w:pPr>
      <w:bookmarkStart w:name="h-10701-102" w:id="477"/>
      <w:r>
        <w:rPr/>
        <w:t xml:space="preserve">Standards</w:t>
      </w:r>
      <w:bookmarkEnd w:id="477"/>
    </w:p>
    <w:p>
      <w:pPr>
        <w:pStyle w:val="Body Text"/>
      </w:pPr>
      <w:r>
        <w:rPr/>
        <w:t xml:space="preserve">Refrigeration systems: To AS/NZS 5149.2 (2016).</w:t>
      </w:r>
    </w:p>
    <w:p>
      <w:pPr>
        <w:pStyle w:val="Body Text"/>
      </w:pPr>
      <w:r>
        <w:rPr/>
        <w:t xml:space="preserve">Safety signs: To AS 1319 (1994).</w:t>
      </w:r>
    </w:p>
    <w:bookmarkEnd w:id="476"/>
    <w:bookmarkStart w:name="f-10701-103" w:id="478"/>
    <w:p>
      <w:pPr>
        <w:pStyle w:val="Heading4"/>
      </w:pPr>
      <w:bookmarkStart w:name="h-10701-103" w:id="479"/>
      <w:r>
        <w:rPr/>
        <w:t xml:space="preserve">Emergency instructions</w:t>
      </w:r>
      <w:bookmarkEnd w:id="479"/>
    </w:p>
    <w:p>
      <w:pPr>
        <w:pStyle w:val="Body Text"/>
      </w:pPr>
      <w:r>
        <w:rPr/>
        <w:t xml:space="preserve">Notice: Provide a notice located within the cool room adjacent to the door indicating the locations of the personnel safety alarm switch and door release mechanism with instructions on how to activate the alarm and operate the door release mechanism.</w:t>
      </w:r>
    </w:p>
    <w:p>
      <w:pPr>
        <w:pStyle w:val="Body Text"/>
      </w:pPr>
      <w:r>
        <w:rPr/>
        <w:t xml:space="preserve">Construction: Photo luminescent type with lettering at least 15 mm high. Screw fix to the cool room wall panel. Provide a photo luminescent exit sign above the cool room door.</w:t>
      </w:r>
    </w:p>
    <w:p>
      <w:pPr>
        <w:pStyle w:val="Body Text"/>
      </w:pPr>
      <w:r>
        <w:rPr/>
        <w:t xml:space="preserve">Photo luminescent sign output: ≥ 2 mcd/m</w:t>
      </w:r>
      <w:r>
        <w:rPr>
          <w:vertAlign w:val="superscript"/>
        </w:rPr>
        <w:t xml:space="preserve">2</w:t>
      </w:r>
      <w:r>
        <w:rPr/>
        <w:t xml:space="preserve">, 60 minutes after light source is removed.</w:t>
      </w:r>
    </w:p>
    <w:bookmarkEnd w:id="478"/>
    <w:bookmarkStart w:name="f-10701-104" w:id="480"/>
    <w:p>
      <w:pPr>
        <w:pStyle w:val="Heading4"/>
      </w:pPr>
      <w:bookmarkStart w:name="h-10701-104" w:id="481"/>
      <w:r>
        <w:rPr/>
        <w:t xml:space="preserve">Labels</w:t>
      </w:r>
      <w:bookmarkEnd w:id="481"/>
    </w:p>
    <w:p>
      <w:pPr>
        <w:pStyle w:val="Body Text"/>
      </w:pPr>
      <w:r>
        <w:rPr/>
        <w:t xml:space="preserve">General: Provide labels for the following:</w:t>
      </w:r>
    </w:p>
    <w:p>
      <w:pPr>
        <w:pStyle w:val="NormalIndent"/>
      </w:pPr>
      <w:r>
        <w:rPr/>
        <w:t xml:space="preserve">Controls.</w:t>
      </w:r>
    </w:p>
    <w:p>
      <w:pPr>
        <w:pStyle w:val="NormalIndent"/>
      </w:pPr>
      <w:r>
        <w:rPr/>
        <w:t xml:space="preserve">Switches.</w:t>
      </w:r>
    </w:p>
    <w:p>
      <w:pPr>
        <w:pStyle w:val="NormalIndent"/>
      </w:pPr>
      <w:r>
        <w:rPr/>
        <w:t xml:space="preserve">Switchboard components.</w:t>
      </w:r>
    </w:p>
    <w:p>
      <w:pPr>
        <w:pStyle w:val="NormalIndent"/>
      </w:pPr>
      <w:r>
        <w:rPr/>
        <w:t xml:space="preserve">Indicator lights.</w:t>
      </w:r>
    </w:p>
    <w:p>
      <w:pPr>
        <w:pStyle w:val="NormalIndent"/>
      </w:pPr>
      <w:r>
        <w:rPr/>
        <w:t xml:space="preserve">Alarms.</w:t>
      </w:r>
    </w:p>
    <w:p>
      <w:pPr>
        <w:pStyle w:val="NormalIndent"/>
      </w:pPr>
      <w:r>
        <w:rPr/>
        <w:t xml:space="preserve">Each cool room door.</w:t>
      </w:r>
    </w:p>
    <w:p>
      <w:pPr>
        <w:pStyle w:val="Instructions"/>
      </w:pPr>
      <w:r>
        <w:rPr/>
        <w:t xml:space="preserve">Consider coordination of door labelling with other door labels in the project.</w:t>
      </w:r>
    </w:p>
    <w:p>
      <w:pPr>
        <w:pStyle w:val="NormalIndent"/>
      </w:pPr>
      <w:r>
        <w:rPr/>
        <w:t xml:space="preserve">Control boards.</w:t>
      </w:r>
    </w:p>
    <w:p>
      <w:pPr>
        <w:pStyle w:val="NormalIndent"/>
      </w:pPr>
      <w:r>
        <w:rPr/>
        <w:t xml:space="preserve">Condensing units.</w:t>
      </w:r>
    </w:p>
    <w:bookmarkEnd w:id="480"/>
    <w:bookmarkStart w:name="f-10701-105" w:id="482"/>
    <w:p>
      <w:pPr>
        <w:pStyle w:val="Heading4"/>
      </w:pPr>
      <w:bookmarkStart w:name="h-10701-105" w:id="483"/>
      <w:r>
        <w:rPr/>
        <w:t xml:space="preserve">Labelling of insulated panels</w:t>
      </w:r>
      <w:bookmarkEnd w:id="483"/>
    </w:p>
    <w:p>
      <w:pPr>
        <w:pStyle w:val="Body Text"/>
      </w:pPr>
      <w:r>
        <w:rPr/>
        <w:t xml:space="preserve">Requirement: To </w:t>
      </w:r>
      <w:r>
        <w:rPr>
          <w:i/>
        </w:rPr>
        <w:t xml:space="preserve">IPCA Code of practice (2017)</w:t>
      </w:r>
      <w:r>
        <w:rPr/>
        <w:t xml:space="preserve"> Annex B.</w:t>
      </w:r>
    </w:p>
    <w:bookmarkEnd w:id="482"/>
    <w:bookmarkStart w:name="f-10701-106" w:id="484"/>
    <w:p>
      <w:pPr>
        <w:pStyle w:val="Heading3"/>
      </w:pPr>
      <w:bookmarkStart w:name="h-10701-106" w:id="485"/>
      <w:r>
        <w:rPr/>
        <w:t xml:space="preserve">COMMISSIONING</w:t>
      </w:r>
      <w:bookmarkEnd w:id="485"/>
    </w:p>
    <w:bookmarkStart w:name="f-23104" w:id="486"/>
    <w:bookmarkStart w:name="f-23104-1" w:id="487"/>
    <w:p>
      <w:pPr>
        <w:pStyle w:val="Instructions"/>
      </w:pPr>
      <w:r>
        <w:rPr/>
        <w:t xml:space="preserve">For information on the commissioning process refer to NATSPEC TECHnote GEN 010 and NATSPEC TECHnote GEN 020.</w:t>
      </w:r>
    </w:p>
    <w:bookmarkEnd w:id="487"/>
    <w:bookmarkEnd w:id="486"/>
    <w:bookmarkStart w:name="f-23118" w:id="488"/>
    <w:bookmarkStart w:name="f-23118-1" w:id="489"/>
    <w:p>
      <w:pPr>
        <w:pStyle w:val="Instructions"/>
      </w:pPr>
      <w:r>
        <w:rPr/>
        <w:t xml:space="preserve">Compliance with this clause targets the Commissioning and Tuning requirement within the Minimum Expectation level of the Verification and Handover credit in Green Star Buildings (2025).</w:t>
      </w:r>
    </w:p>
    <w:bookmarkEnd w:id="489"/>
    <w:bookmarkEnd w:id="488"/>
    <w:bookmarkEnd w:id="484"/>
    <w:bookmarkStart w:name="f-10701-107" w:id="490"/>
    <w:p>
      <w:pPr>
        <w:pStyle w:val="Heading4"/>
      </w:pPr>
      <w:bookmarkStart w:name="h-10701-107" w:id="491"/>
      <w:r>
        <w:rPr/>
        <w:t xml:space="preserve">General</w:t>
      </w:r>
      <w:bookmarkEnd w:id="491"/>
    </w:p>
    <w:p>
      <w:pPr>
        <w:pStyle w:val="Body Text"/>
      </w:pPr>
      <w:r>
        <w:rPr/>
        <w:t xml:space="preserve">Requirement: Conform to </w:t>
      </w:r>
      <w:r>
        <w:rPr>
          <w:i/>
        </w:rPr>
        <w:t xml:space="preserve">0791 Mechanical commissioning</w:t>
      </w:r>
      <w:r>
        <w:rPr/>
        <w:t xml:space="preserve">. Commission to ASKIN's recommendations.</w:t>
      </w:r>
    </w:p>
    <w:p>
      <w:pPr>
        <w:pStyle w:val="Body Text"/>
      </w:pPr>
      <w:r>
        <w:rPr/>
        <w:t xml:space="preserve">Standard: To the recommendations of AIRAH DA12 (2020).</w:t>
      </w:r>
    </w:p>
    <w:bookmarkEnd w:id="490"/>
    <w:bookmarkStart w:name="f-10701-108" w:id="492"/>
    <w:p>
      <w:pPr>
        <w:pStyle w:val="Heading3"/>
      </w:pPr>
      <w:bookmarkStart w:name="h-10701-108" w:id="493"/>
      <w:r>
        <w:rPr/>
        <w:t xml:space="preserve">COMPLETION</w:t>
      </w:r>
      <w:bookmarkEnd w:id="493"/>
    </w:p>
    <w:bookmarkEnd w:id="492"/>
    <w:bookmarkStart w:name="f-10701-109" w:id="494"/>
    <w:p>
      <w:pPr>
        <w:pStyle w:val="Heading4"/>
      </w:pPr>
      <w:bookmarkStart w:name="h-10701-109" w:id="495"/>
      <w:r>
        <w:rPr/>
        <w:t xml:space="preserve">Cleaning</w:t>
      </w:r>
      <w:bookmarkEnd w:id="495"/>
    </w:p>
    <w:p>
      <w:pPr>
        <w:pStyle w:val="Body Text"/>
      </w:pPr>
      <w:r>
        <w:rPr/>
        <w:t xml:space="preserve">Panels and floors: Clean to manufacturer's recommendations.</w:t>
      </w:r>
    </w:p>
    <w:p>
      <w:pPr>
        <w:pStyle w:val="Instructions"/>
      </w:pPr>
      <w:r>
        <w:rPr/>
        <w:t xml:space="preserve">Panel finishes may require special cleaning products.</w:t>
      </w:r>
    </w:p>
    <w:bookmarkEnd w:id="494"/>
    <w:bookmarkStart w:name="f-10701-10701.7" w:id="496"/>
    <w:p>
      <w:pPr>
        <w:pStyle w:val="Heading4"/>
      </w:pPr>
      <w:bookmarkStart w:name="h-10701-10701.7" w:id="497"/>
      <w:r>
        <w:rPr/>
        <w:t xml:space="preserve">Operation and maintenance manuals</w:t>
      </w:r>
      <w:bookmarkEnd w:id="497"/>
    </w:p>
    <w:p>
      <w:pPr>
        <w:pStyle w:val="Body Text"/>
      </w:pPr>
      <w:r>
        <w:rPr/>
        <w:t xml:space="preserve">Maintenance manuals: Provide ASKIN</w:t>
      </w:r>
      <w:r>
        <w:rPr>
          <w:i/>
        </w:rPr>
        <w:t xml:space="preserve">® Warranty and maintenance</w:t>
      </w:r>
      <w:r>
        <w:rPr/>
        <w:t xml:space="preserve"> for care and maintenance of ASKIN® XFLAM performance panels including frequency of inspection and recommended methods of access, cleaning, repair and replacement.</w:t>
      </w:r>
    </w:p>
    <w:bookmarkStart w:name="f-7476" w:id="498"/>
    <w:bookmarkStart w:name="f-7476-1" w:id="499"/>
    <w:p>
      <w:pPr>
        <w:pStyle w:val="Instructions"/>
      </w:pPr>
      <w:r>
        <w:rPr/>
        <w:t xml:space="preserve">Compliance with this subclause targets the Building Information requirement within the Minimum Expectation level of the Verification and Handover credit in Green Star Buildings (2025).</w:t>
      </w:r>
    </w:p>
    <w:bookmarkEnd w:id="499"/>
    <w:bookmarkEnd w:id="498"/>
    <w:bookmarkEnd w:id="496"/>
    <w:bookmarkStart w:name="f-10701-110" w:id="500"/>
    <w:p>
      <w:pPr>
        <w:pStyle w:val="Heading4"/>
      </w:pPr>
      <w:bookmarkStart w:name="h-10701-110" w:id="501"/>
      <w:r>
        <w:rPr/>
        <w:t xml:space="preserve">Warranties</w:t>
      </w:r>
      <w:bookmarkEnd w:id="501"/>
    </w:p>
    <w:p>
      <w:pPr>
        <w:pStyle w:val="Body Text"/>
      </w:pPr>
      <w:r>
        <w:rPr/>
        <w:t xml:space="preserve">General: Cover warranties for materials and workmanship from the supplier and the installer.</w:t>
      </w:r>
    </w:p>
    <w:p>
      <w:pPr>
        <w:pStyle w:val="Body Text"/>
      </w:pPr>
      <w:r>
        <w:rPr/>
        <w:t xml:space="preserve">Form: Against failure of materials and execution under normal environment and use conditions.</w:t>
      </w:r>
    </w:p>
    <w:p>
      <w:pPr>
        <w:pStyle w:val="Prompt"/>
      </w:pPr>
      <w:r>
        <w:rPr/>
        <w:t xml:space="preserve">Warranty for workmanship: </w:t>
      </w:r>
      <w:r>
        <w:fldChar w:fldCharType="begin"/>
        <w:instrText xml:space="preserve"> MACROBUTTON  ac_OnHelp [complete/delete]</w:instrText>
        <w:fldChar w:fldCharType="separate"/>
        <w:t xml:space="preserve"> </w:t>
        <w:fldChar w:fldCharType="end"/>
      </w:r>
    </w:p>
    <w:p>
      <w:pPr>
        <w:pStyle w:val="Prompt"/>
      </w:pPr>
      <w:r>
        <w:rPr/>
        <w:t xml:space="preserve">Warranty for materials: </w:t>
      </w:r>
      <w:r>
        <w:fldChar w:fldCharType="begin"/>
        <w:instrText xml:space="preserve"> MACROBUTTON  ac_OnHelp [complete/delete]</w:instrText>
        <w:fldChar w:fldCharType="separate"/>
        <w:t xml:space="preserve"> </w:t>
        <w:fldChar w:fldCharType="end"/>
      </w:r>
    </w:p>
    <w:p>
      <w:pPr>
        <w:pStyle w:val="Instructions"/>
      </w:pPr>
      <w:r>
        <w:rPr/>
        <w:t xml:space="preserve">Use only if warranties extending beyond the defects liability period are available for the particular system. Insert the required warranty period and terms, which should be negotiated beforehand. If the warranty is in the form of separate material and installation warranties, the signatures of both manufacturer and installer are required.</w:t>
      </w:r>
    </w:p>
    <w:p>
      <w:pPr>
        <w:pStyle w:val="Instructions"/>
      </w:pPr>
      <w:r>
        <w:rPr/>
        <w:t xml:space="preserve">The form(s) required should be provided as part of the contract documentation.</w:t>
      </w:r>
    </w:p>
    <w:bookmarkEnd w:id="500"/>
    <w:bookmarkStart w:name="f-10701-111" w:id="502"/>
    <w:p>
      <w:pPr>
        <w:pStyle w:val="Heading3"/>
      </w:pPr>
      <w:bookmarkStart w:name="h-10701-111" w:id="503"/>
      <w:r>
        <w:rPr/>
        <w:t xml:space="preserve">MAINTENANCE</w:t>
      </w:r>
      <w:bookmarkEnd w:id="503"/>
    </w:p>
    <w:bookmarkEnd w:id="502"/>
    <w:bookmarkStart w:name="f-10701-112" w:id="504"/>
    <w:p>
      <w:pPr>
        <w:pStyle w:val="Heading4"/>
      </w:pPr>
      <w:bookmarkStart w:name="h-10701-112" w:id="505"/>
      <w:r>
        <w:rPr/>
        <w:t xml:space="preserve">General</w:t>
      </w:r>
      <w:bookmarkEnd w:id="505"/>
    </w:p>
    <w:p>
      <w:pPr>
        <w:pStyle w:val="Body Text"/>
      </w:pPr>
      <w:r>
        <w:rPr/>
        <w:t xml:space="preserve">Requirement: Provide maintenance as documented. Conform to </w:t>
      </w:r>
      <w:r>
        <w:rPr>
          <w:i/>
        </w:rPr>
        <w:t xml:space="preserve">0792 Mechanical maintenance</w:t>
      </w:r>
      <w:r>
        <w:rPr/>
        <w:t xml:space="preserve">.</w:t>
      </w:r>
    </w:p>
    <w:bookmarkEnd w:id="504"/>
    <w:bookmarkEnd w:id="261"/>
    <w:bookmarkStart w:name="f-10699" w:id="506"/>
    <w:bookmarkStart w:name="f-10699-1" w:id="507"/>
    <w:p>
      <w:pPr>
        <w:pStyle w:val="Heading2"/>
      </w:pPr>
      <w:bookmarkStart w:name="h-10699-1" w:id="508"/>
      <w:r>
        <w:rPr/>
        <w:t xml:space="preserve">SELECTIONS</w:t>
      </w:r>
      <w:bookmarkEnd w:id="508"/>
    </w:p>
    <w:bookmarkEnd w:id="507"/>
    <w:bookmarkStart w:name="f-10699-2" w:id="509"/>
    <w:bookmarkStart w:name="f-7991" w:id="510"/>
    <w:bookmarkStart w:name="f-7991-1" w:id="511"/>
    <w:p>
      <w:pPr>
        <w:pStyle w:val="Instructions"/>
      </w:pPr>
      <w:r>
        <w:rPr>
          <w:b/>
        </w:rPr>
        <w:t xml:space="preserve">Schedules</w:t>
      </w:r>
      <w:r>
        <w:rPr/>
        <w:t xml:space="preserve"> are a tool to specify properties required for products or systems. If the principal permits documentation of the product or system by proprietary name, some of the properties may be unnecessary and can be deleted. Document the product or system's location or application here and/or on the drawings with a matching project code. Refer to NATSPEC TECHnote GEN 024 for guidance on using and editing schedules.</w:t>
      </w:r>
    </w:p>
    <w:bookmarkEnd w:id="511"/>
    <w:bookmarkEnd w:id="510"/>
    <w:bookmarkEnd w:id="509"/>
    <w:bookmarkStart w:name="f-10699-3" w:id="512"/>
    <w:p>
      <w:pPr>
        <w:pStyle w:val="Heading3"/>
      </w:pPr>
      <w:bookmarkStart w:name="h-10699-3" w:id="513"/>
      <w:r>
        <w:rPr/>
        <w:t xml:space="preserve">COOL ROOMS</w:t>
      </w:r>
      <w:bookmarkEnd w:id="513"/>
    </w:p>
    <w:bookmarkEnd w:id="512"/>
    <w:bookmarkStart w:name="f-10699-4" w:id="514"/>
    <w:p>
      <w:pPr>
        <w:pStyle w:val="Heading4"/>
      </w:pPr>
      <w:bookmarkStart w:name="h-10699-4" w:id="515"/>
      <w:r>
        <w:rPr/>
        <w:t xml:space="preserve">Cool room schedule</w:t>
      </w:r>
      <w:bookmarkEnd w:id="515"/>
    </w:p>
    <w:tbl>
      <w:tblPr>
        <w:tblStyle w:val="NATSPECTable"/>
        <w:tblW w:w="5000" w:type="pct"/>
        <w:tblLook w:firstRow="1" w:lastRow="0" w:firstColumn="0" w:lastColumn="0"/>
      </w:tblPr>
      <w:tr>
        <w:trPr>
          <w:tblHeader/>
        </w:trPr>
        <w:tc>
          <w:tcPr>
            <w:tcW w:w="40.0%" w:type="pct"/>
          </w:tcPr>
          <w:p>
            <w:pPr>
              <w:pStyle w:val="Tabletitle"/>
            </w:pPr>
          </w:p>
        </w:tc>
        <w:tc>
          <w:tcPr>
            <w:tcW w:w="20.0%" w:type="pct"/>
          </w:tcPr>
          <w:p>
            <w:pPr>
              <w:pStyle w:val="Tabletitle"/>
            </w:pPr>
            <w:r>
              <w:rPr/>
              <w:t xml:space="preserve">Cool room 1</w:t>
            </w:r>
          </w:p>
        </w:tc>
        <w:tc>
          <w:tcPr>
            <w:tcW w:w="20.0%" w:type="pct"/>
          </w:tcPr>
          <w:p>
            <w:pPr>
              <w:pStyle w:val="Tabletitle"/>
            </w:pPr>
            <w:r>
              <w:rPr/>
              <w:t xml:space="preserve">Cool room 2</w:t>
            </w:r>
          </w:p>
        </w:tc>
        <w:tc>
          <w:tcPr>
            <w:tcW w:w="20.0%" w:type="pct"/>
          </w:tcPr>
          <w:p>
            <w:pPr>
              <w:pStyle w:val="Tabletitle"/>
            </w:pPr>
            <w:r>
              <w:rPr/>
              <w:t xml:space="preserve">Cool room 3</w:t>
            </w:r>
          </w:p>
        </w:tc>
      </w:tr>
      <w:tr>
        <w:trPr/>
        <w:tc>
          <w:tcPr>
            <w:tcW w:w="40.0%" w:type="pct"/>
          </w:tcPr>
          <w:p>
            <w:pPr>
              <w:pStyle w:val="Tabletext"/>
            </w:pPr>
            <w:r>
              <w:rPr/>
              <w:t xml:space="preserve">Room function</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Room internal dimensions: Length (mm)</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Room internal dimensions: Width (mm)</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Room internal dimensions: Height (mm)</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Wall, ceiling and floor insulation thickness (mm)</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Room operating temperature (°C)</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Air‑cooled condenser: Air entering temperature (°C)</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Water cooled condenser: Water entering temperature (°C)</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Water cooled condenser: Water leaving temperature (°C)</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Refrigeration plant capacity at above conditions (kWr)</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Refrigeration plant operating hours per day</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Panel skin material: Internal and external</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Panel skin thickness (mm): Internal and external</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Panel profile</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Panel finish and colour: Internal and external</w:t>
            </w:r>
          </w:p>
        </w:tc>
        <w:tc>
          <w:tcPr>
            <w:tcW w:w="20.0%" w:type="pct"/>
          </w:tcPr>
          <w:p>
            <w:pPr>
              <w:pStyle w:val="Tabletext"/>
            </w:pPr>
            <w:r>
              <w:rPr/>
              <w:t xml:space="preserve">Colorbond® Intramax</w:t>
            </w:r>
            <w:r>
              <w:rPr>
                <w:vertAlign w:val="superscript"/>
              </w:rPr>
              <w:t xml:space="preserve">TM</w:t>
            </w:r>
            <w:r>
              <w:rPr/>
              <w:t xml:space="preserve"> White</w:t>
            </w:r>
          </w:p>
        </w:tc>
        <w:tc>
          <w:tcPr>
            <w:tcW w:w="20.0%" w:type="pct"/>
          </w:tcPr>
          <w:p>
            <w:pPr>
              <w:pStyle w:val="Tabletext"/>
            </w:pPr>
          </w:p>
        </w:tc>
        <w:tc>
          <w:tcPr>
            <w:tcW w:w="20.0%" w:type="pct"/>
          </w:tcPr>
          <w:p>
            <w:pPr>
              <w:pStyle w:val="Tabletext"/>
            </w:pPr>
          </w:p>
        </w:tc>
      </w:tr>
      <w:tr>
        <w:trPr/>
        <w:tc>
          <w:tcPr>
            <w:tcW w:w="40.0%" w:type="pct"/>
          </w:tcPr>
          <w:p>
            <w:pPr>
              <w:pStyle w:val="Tabletext"/>
            </w:pPr>
            <w:r>
              <w:rPr/>
              <w:t xml:space="preserve">R‑Value (m².K/W)</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Panel protection: Internal wall protection</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Panel protection: Door protection</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Floor: Floor wearing surface type</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Floor: Concrete wearing surface finish</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Floor: Tanking</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Floor heating mat output (W/m²)</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Main door: Door type</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Main door: Door clear opening (width x height) (mm)</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Main door: Viewing panel size (width x height) (mm)</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Emergency access doors: Number required</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Emergency access doors: Door action</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Emergency access doors: Door clear opening (width x height) (mm)</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Door plastic strip curtain</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Automatic door closer</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Door open alarm</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Refrigeration plant: Type</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Refrigeration plant: Acceptable refrigerants</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Refrigeration plant: Compressor type</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Refrigeration plant: Compressor drive</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Refrigeration plant: Suction and discharge pressure gauges</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Refrigeration plant: Condensing unit enclosure</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Refrigeration plant: Condenser fan motor</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Refrigeration plant: Evaporator fan motor</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Control panels: Enclosure material</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Service lighting: Number of luminaires</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Control options: Phase failure relay</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Control options: Condensing unit fault indication</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Remote alarms: Refrigeration plant fault</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Remote alarms: Room over temperature</w:t>
            </w:r>
          </w:p>
        </w:tc>
        <w:tc>
          <w:tcPr>
            <w:tcW w:w="20.0%" w:type="pct"/>
          </w:tcPr>
          <w:p>
            <w:pPr>
              <w:pStyle w:val="Tabletext"/>
            </w:pPr>
          </w:p>
        </w:tc>
        <w:tc>
          <w:tcPr>
            <w:tcW w:w="20.0%" w:type="pct"/>
          </w:tcPr>
          <w:p>
            <w:pPr>
              <w:pStyle w:val="Tabletext"/>
            </w:pPr>
          </w:p>
        </w:tc>
        <w:tc>
          <w:tcPr>
            <w:tcW w:w="20.0%" w:type="pct"/>
          </w:tcPr>
          <w:p>
            <w:pPr>
              <w:pStyle w:val="Tabletext"/>
            </w:pPr>
          </w:p>
        </w:tc>
      </w:tr>
    </w:tbl>
    <w:p>
      <w:r>
        <w:t xml:space="preserve"> </w:t>
      </w:r>
    </w:p>
    <w:bookmarkStart w:name="f-8767" w:id="516"/>
    <w:bookmarkStart w:name="f-8767-1" w:id="517"/>
    <w:p>
      <w:pPr>
        <w:pStyle w:val="Instructions"/>
      </w:pPr>
      <w:r>
        <w:rPr/>
        <w:t xml:space="preserve">The codes in the header row of the schedule designate each application or location of the item scheduled. Edit the codes to match those in other contract documents.</w:t>
      </w:r>
    </w:p>
    <w:bookmarkEnd w:id="517"/>
    <w:bookmarkEnd w:id="516"/>
    <w:bookmarkEnd w:id="514"/>
    <w:bookmarkStart w:name="f-10699-13" w:id="518"/>
    <w:p>
      <w:pPr>
        <w:pStyle w:val="Instructions"/>
      </w:pPr>
      <w:r>
        <w:rPr/>
        <w:t xml:space="preserve">Some items in this schedule may be omitted if the respective clauses are deleted, for example, internal wall protection if the </w:t>
      </w:r>
      <w:r>
        <w:rPr>
          <w:b/>
        </w:rPr>
        <w:t xml:space="preserve">Internal wall protection</w:t>
      </w:r>
      <w:r>
        <w:rPr/>
        <w:t xml:space="preserve"> subclause is deleted. Alternatively, some or all of the details in this schedule may be shown on the drawings and deleted from the schedule. Similarly, if schedule items are detailed on the drawings they should be deleted from the schedule.</w:t>
      </w:r>
    </w:p>
    <w:p>
      <w:pPr>
        <w:pStyle w:val="Instructions"/>
      </w:pPr>
      <w:r>
        <w:rPr/>
        <w:t xml:space="preserve">Room function: e.g. Restaurant service, pharmaceutical storage, mortuary.</w:t>
      </w:r>
    </w:p>
    <w:p>
      <w:pPr>
        <w:pStyle w:val="Instructions"/>
      </w:pPr>
      <w:r>
        <w:rPr/>
        <w:t xml:space="preserve">Wall, ceiling and floor insulation thickness (mm): Insert to suit project. The values below may be used as a guide but may need to be increased in humid regions (e.g. NCC climate zone 1) and for other project conditions.</w:t>
      </w:r>
    </w:p>
    <w:p>
      <w:pPr>
        <w:pStyle w:val="Instructions"/>
      </w:pPr>
      <w:r>
        <w:rPr/>
        <w:t xml:space="preserve">Recommended by ASKIN:</w:t>
      </w:r>
    </w:p>
    <w:p>
      <w:pPr>
        <w:pStyle w:val="Instructionsindent"/>
      </w:pPr>
      <w:r>
        <w:rPr/>
        <w:t xml:space="preserve">Room operating temperature ≤ 6°C &gt; 0°C: ≥ 75 mm.</w:t>
      </w:r>
    </w:p>
    <w:p>
      <w:pPr>
        <w:pStyle w:val="Instructionsindent"/>
      </w:pPr>
      <w:r>
        <w:rPr/>
        <w:t xml:space="preserve">Room operating temperature ≤ 0°C: ≥ 150 mm.</w:t>
      </w:r>
    </w:p>
    <w:p>
      <w:pPr>
        <w:pStyle w:val="Instructions"/>
      </w:pPr>
      <w:r>
        <w:rPr/>
        <w:t xml:space="preserve">Recommended by AIRAH DA12 (2020) for energy conservation:</w:t>
      </w:r>
    </w:p>
    <w:p>
      <w:pPr>
        <w:pStyle w:val="Instructionsindent"/>
      </w:pPr>
      <w:r>
        <w:rPr/>
        <w:t xml:space="preserve">Room operating temperature ≤ 6°C &gt; 0°C: ≥ 150 mm.</w:t>
      </w:r>
    </w:p>
    <w:p>
      <w:pPr>
        <w:pStyle w:val="Instructionsindent"/>
      </w:pPr>
      <w:r>
        <w:rPr/>
        <w:t xml:space="preserve">Room operating temperature ≤ 0°C: ≥ 200 mm.</w:t>
      </w:r>
    </w:p>
    <w:p>
      <w:pPr>
        <w:pStyle w:val="Instructions"/>
      </w:pPr>
      <w:r>
        <w:rPr/>
        <w:t xml:space="preserve">Air‑cooled condenser: Air entering temperature (°C): To suit site and plant configuration. If airflow is restricted, consider specifying a value higher than design ambient to compensate. Delete if there are no air‑cooled units.</w:t>
      </w:r>
    </w:p>
    <w:p>
      <w:pPr>
        <w:pStyle w:val="Instructions"/>
      </w:pPr>
      <w:r>
        <w:rPr/>
        <w:t xml:space="preserve">Water cooled condenser: Water entering/leaving temperature (°C): Delete if there are no water cooled units.</w:t>
      </w:r>
    </w:p>
    <w:p>
      <w:pPr>
        <w:pStyle w:val="Instructions"/>
      </w:pPr>
      <w:r>
        <w:rPr/>
        <w:t xml:space="preserve">Refrigeration plant capacity at above conditions (kWr): See AIRAH DA12 (2020) for guidance on calculating this.</w:t>
      </w:r>
    </w:p>
    <w:p>
      <w:pPr>
        <w:pStyle w:val="Instructions"/>
      </w:pPr>
      <w:r>
        <w:rPr/>
        <w:t xml:space="preserve">Refrigeration plant operating hours per day: e.g. 18. This is used to calculate plant capacity allowing for defrost. Omit if the refrigeration plant is fully specified.</w:t>
      </w:r>
    </w:p>
    <w:bookmarkEnd w:id="518"/>
    <w:bookmarkStart w:name="f-10699-10699.2" w:id="519"/>
    <w:p>
      <w:pPr>
        <w:pStyle w:val="Instructions"/>
      </w:pPr>
      <w:r>
        <w:rPr/>
        <w:t xml:space="preserve">Panel skin material: Internal and external:</w:t>
      </w:r>
    </w:p>
    <w:p>
      <w:pPr>
        <w:pStyle w:val="Instructionsindent"/>
      </w:pPr>
      <w:r>
        <w:rPr/>
        <w:t xml:space="preserve">Z275 colour coated steel.</w:t>
      </w:r>
    </w:p>
    <w:p>
      <w:pPr>
        <w:pStyle w:val="Instructionsindent"/>
      </w:pPr>
      <w:r>
        <w:rPr/>
        <w:t xml:space="preserve">Stainless steel.</w:t>
      </w:r>
    </w:p>
    <w:p>
      <w:pPr>
        <w:pStyle w:val="Instructionsindent"/>
      </w:pPr>
      <w:r>
        <w:rPr/>
        <w:t xml:space="preserve">Aluminium.</w:t>
      </w:r>
    </w:p>
    <w:p>
      <w:pPr>
        <w:pStyle w:val="Instructions"/>
      </w:pPr>
      <w:r>
        <w:rPr/>
        <w:t xml:space="preserve">Panel skin thickness (mm): Internal and external: Select from 0.4, 0.5 or 0.6 mm.</w:t>
      </w:r>
    </w:p>
    <w:p>
      <w:pPr>
        <w:pStyle w:val="Instructions"/>
      </w:pPr>
      <w:r>
        <w:rPr/>
        <w:t xml:space="preserve">Panel finish and colour: Internal and external: Select from Colorbond® or Colorbond® PDVF ranges.</w:t>
      </w:r>
    </w:p>
    <w:p>
      <w:pPr>
        <w:pStyle w:val="Instructions"/>
      </w:pPr>
      <w:r>
        <w:rPr/>
        <w:t xml:space="preserve">R‑Value (m².K/W): Select from manufacturer's range. AS/NZS 4859.1 (2018) requires that R‑Value is declared at 23°C for insulation products sold in Australia.</w:t>
      </w:r>
    </w:p>
    <w:p>
      <w:pPr>
        <w:pStyle w:val="Instructions"/>
      </w:pPr>
      <w:r>
        <w:rPr/>
        <w:t xml:space="preserve">Panel protection:</w:t>
      </w:r>
    </w:p>
    <w:p>
      <w:pPr>
        <w:pStyle w:val="Instructionsindent"/>
      </w:pPr>
      <w:r>
        <w:rPr/>
        <w:t xml:space="preserve">Internal wall protection: e.g. Required, not required.</w:t>
      </w:r>
    </w:p>
    <w:p>
      <w:pPr>
        <w:pStyle w:val="Instructionsindent"/>
      </w:pPr>
      <w:r>
        <w:rPr/>
        <w:t xml:space="preserve">Door protection: e.g. Required, not required.</w:t>
      </w:r>
    </w:p>
    <w:p>
      <w:pPr>
        <w:pStyle w:val="Instructions"/>
      </w:pPr>
      <w:r>
        <w:rPr/>
        <w:t xml:space="preserve">Floor:</w:t>
      </w:r>
    </w:p>
    <w:p>
      <w:pPr>
        <w:pStyle w:val="Instructionsindent"/>
      </w:pPr>
      <w:r>
        <w:rPr/>
        <w:t xml:space="preserve">Floor wearing surface type: e.g. Concrete, aluminium chequer plate, seamless vinyl.</w:t>
      </w:r>
    </w:p>
    <w:p>
      <w:pPr>
        <w:pStyle w:val="Instructionsindent"/>
      </w:pPr>
      <w:r>
        <w:rPr/>
        <w:t xml:space="preserve">Concrete wearing surface finish: e.g. As laid, epoxy coated, ceramic tiles.</w:t>
      </w:r>
    </w:p>
    <w:p>
      <w:pPr>
        <w:pStyle w:val="Instructionsindent"/>
      </w:pPr>
      <w:r>
        <w:rPr/>
        <w:t xml:space="preserve">Tanking: e.g. Required, not required.</w:t>
      </w:r>
    </w:p>
    <w:p>
      <w:pPr>
        <w:pStyle w:val="Instructions"/>
      </w:pPr>
      <w:r>
        <w:rPr/>
        <w:t xml:space="preserve">Floor heating mat output (W/m²): If heating mat is required insert heat output based on the temperatures in the room and conditions under the floor. If no heating mat is required, either delete the row or insert Not required.</w:t>
      </w:r>
    </w:p>
    <w:p>
      <w:pPr>
        <w:pStyle w:val="Instructions"/>
      </w:pPr>
      <w:r>
        <w:rPr/>
        <w:t xml:space="preserve">Main door:</w:t>
      </w:r>
    </w:p>
    <w:p>
      <w:pPr>
        <w:pStyle w:val="Instructionsindent"/>
      </w:pPr>
      <w:r>
        <w:rPr/>
        <w:t xml:space="preserve">Door type: e.g. ASKIN swing or horizontal sliding, full face or flush, sill or sill‑less. Consult ASKIN documentation for options.</w:t>
      </w:r>
    </w:p>
    <w:p>
      <w:pPr>
        <w:pStyle w:val="Instructionsindent"/>
      </w:pPr>
      <w:r>
        <w:rPr/>
        <w:t xml:space="preserve">Viewing panel size (width x height) (mm): Insert dimensions or note not required.</w:t>
      </w:r>
    </w:p>
    <w:p>
      <w:pPr>
        <w:pStyle w:val="Instructions"/>
      </w:pPr>
      <w:r>
        <w:rPr/>
        <w:t xml:space="preserve">Door plastic strip curtain: e.g. Required, not required.</w:t>
      </w:r>
    </w:p>
    <w:p>
      <w:pPr>
        <w:pStyle w:val="Instructions"/>
      </w:pPr>
      <w:r>
        <w:rPr/>
        <w:t xml:space="preserve">Automatic door closer: e.g. Required, not required.</w:t>
      </w:r>
    </w:p>
    <w:p>
      <w:pPr>
        <w:pStyle w:val="Instructions"/>
      </w:pPr>
      <w:r>
        <w:rPr/>
        <w:t xml:space="preserve">Door open alarm: e.g. Required, not required.</w:t>
      </w:r>
    </w:p>
    <w:bookmarkEnd w:id="519"/>
    <w:bookmarkStart w:name="f-10699-10699.1" w:id="520"/>
    <w:p>
      <w:pPr>
        <w:pStyle w:val="Instructions"/>
      </w:pPr>
      <w:r>
        <w:rPr/>
        <w:t xml:space="preserve">Refrigeration plant:</w:t>
      </w:r>
    </w:p>
    <w:p>
      <w:pPr>
        <w:pStyle w:val="Instructionsindent"/>
      </w:pPr>
      <w:r>
        <w:rPr/>
        <w:t xml:space="preserve">Type: e.g. Split system, single drop‑in unit, single slide‑in unit.</w:t>
      </w:r>
    </w:p>
    <w:p>
      <w:pPr>
        <w:pStyle w:val="Instructionsindent"/>
      </w:pPr>
      <w:r>
        <w:rPr/>
        <w:t xml:space="preserve">Acceptable refrigerants: This may be omitted if the refrigerants permitted under the respective legislation are acceptable. See NATSPEC TECHnote PRO 007 on refrigerant options.</w:t>
      </w:r>
    </w:p>
    <w:p>
      <w:pPr>
        <w:pStyle w:val="Instructionsindent"/>
      </w:pPr>
      <w:r>
        <w:rPr/>
        <w:t xml:space="preserve">Compressor type: e.g. Belt driven open drive, direct driven open drive, hermetic, semi‑hermetic.</w:t>
      </w:r>
    </w:p>
    <w:p>
      <w:pPr>
        <w:pStyle w:val="Instructionsindent"/>
      </w:pPr>
      <w:r>
        <w:rPr/>
        <w:t xml:space="preserve">Compressor drive: e.g. a.c., inverter, digital.</w:t>
      </w:r>
    </w:p>
    <w:p>
      <w:pPr>
        <w:pStyle w:val="Instructionsindent"/>
      </w:pPr>
      <w:r>
        <w:rPr/>
        <w:t xml:space="preserve">Suction and discharge pressure gauges: e.g. Required, not required.</w:t>
      </w:r>
    </w:p>
    <w:p>
      <w:pPr>
        <w:pStyle w:val="Instructionsindent"/>
      </w:pPr>
      <w:r>
        <w:rPr/>
        <w:t xml:space="preserve">Condensing unit enclosure: e.g. Required, not required. Omit for drop‑in and slide‑in types.</w:t>
      </w:r>
    </w:p>
    <w:p>
      <w:pPr>
        <w:pStyle w:val="Instructionsindent"/>
      </w:pPr>
      <w:r>
        <w:rPr/>
        <w:t xml:space="preserve">Condenser fan motor: e.g. a.c., EC.</w:t>
      </w:r>
    </w:p>
    <w:p>
      <w:pPr>
        <w:pStyle w:val="Instructionsindent"/>
      </w:pPr>
      <w:r>
        <w:rPr/>
        <w:t xml:space="preserve">Evaporator fan motor: e.g. a.c., EC.</w:t>
      </w:r>
    </w:p>
    <w:p>
      <w:pPr>
        <w:pStyle w:val="Instructions"/>
      </w:pPr>
      <w:r>
        <w:rPr/>
        <w:t xml:space="preserve">Control panels: Enclosure material: e.g. Metallic‑coated steel, polycarbonate.</w:t>
      </w:r>
    </w:p>
    <w:p>
      <w:pPr>
        <w:pStyle w:val="Instructions"/>
      </w:pPr>
      <w:r>
        <w:rPr/>
        <w:t xml:space="preserve">Control options:</w:t>
      </w:r>
    </w:p>
    <w:p>
      <w:pPr>
        <w:pStyle w:val="Instructionsindent"/>
      </w:pPr>
      <w:r>
        <w:rPr/>
        <w:t xml:space="preserve">Phase failure relay: e.g. Required, not required.</w:t>
      </w:r>
    </w:p>
    <w:p>
      <w:pPr>
        <w:pStyle w:val="Instructionsindent"/>
      </w:pPr>
      <w:r>
        <w:rPr/>
        <w:t xml:space="preserve">Condensing unit fault indication: e.g. Required, not required.</w:t>
      </w:r>
    </w:p>
    <w:p>
      <w:pPr>
        <w:pStyle w:val="Instructions"/>
      </w:pPr>
      <w:r>
        <w:rPr/>
        <w:t xml:space="preserve">Remote alarms:</w:t>
      </w:r>
    </w:p>
    <w:p>
      <w:pPr>
        <w:pStyle w:val="Instructionsindent"/>
      </w:pPr>
      <w:r>
        <w:rPr/>
        <w:t xml:space="preserve">Refrigeration plant fault: e.g. Required, not required.</w:t>
      </w:r>
    </w:p>
    <w:p>
      <w:pPr>
        <w:pStyle w:val="Instructionsindent"/>
      </w:pPr>
      <w:r>
        <w:rPr/>
        <w:t xml:space="preserve">Room over temperature: e.g. Required, not required.</w:t>
      </w:r>
    </w:p>
    <w:bookmarkEnd w:id="520"/>
    <w:bookmarkStart w:name="f-10699-9" w:id="521"/>
    <w:p>
      <w:pPr>
        <w:pStyle w:val="Instructions"/>
      </w:pPr>
      <w:r>
        <w:rPr>
          <w:b/>
        </w:rPr>
        <w:t xml:space="preserve">Adapting schedules for design by contractor</w:t>
      </w:r>
    </w:p>
    <w:p>
      <w:pPr>
        <w:pStyle w:val="Instructions"/>
      </w:pPr>
      <w:r>
        <w:rPr/>
        <w:t xml:space="preserve">If the contractor is to calculate the required performance and to select the equipment, the SELECTIONS schedules can be used to set generic selection parameters. Note that the documents should include sufficient information for items to be determined by the contractor, for example from documented performance parameters and drawing information. For these items, insert suitable text, e.g. To the documented requirements.</w:t>
      </w:r>
    </w:p>
    <w:p>
      <w:pPr>
        <w:pStyle w:val="Instructions"/>
      </w:pPr>
      <w:r>
        <w:rPr/>
        <w:t xml:space="preserve">The </w:t>
      </w:r>
      <w:r>
        <w:rPr>
          <w:b/>
        </w:rPr>
        <w:t xml:space="preserve">Cool room schedule</w:t>
      </w:r>
      <w:r>
        <w:rPr/>
        <w:t xml:space="preserve"> can then form the basis of the contractor's submissions with the text replaced by design values.</w:t>
      </w:r>
    </w:p>
    <w:bookmarkEnd w:id="521"/>
    <w:bookmarkStart w:name="f-10699-5" w:id="522"/>
    <w:p>
      <w:pPr>
        <w:pStyle w:val="Heading3"/>
      </w:pPr>
      <w:bookmarkStart w:name="h-10699-5" w:id="523"/>
      <w:r>
        <w:rPr/>
        <w:t xml:space="preserve">BMS INTERFACE</w:t>
      </w:r>
      <w:bookmarkEnd w:id="523"/>
    </w:p>
    <w:bookmarkEnd w:id="522"/>
    <w:bookmarkStart w:name="f-10699-6" w:id="524"/>
    <w:p>
      <w:pPr>
        <w:pStyle w:val="Heading4"/>
      </w:pPr>
      <w:bookmarkStart w:name="h-10699-6" w:id="525"/>
      <w:r>
        <w:rPr/>
        <w:t xml:space="preserve">Cool room BMS points schedule</w:t>
      </w:r>
      <w:bookmarkEnd w:id="525"/>
    </w:p>
    <w:tbl>
      <w:tblPr>
        <w:tblStyle w:val="NATSPECTable"/>
        <w:tblW w:w="5000" w:type="pct"/>
        <w:tblLook w:firstRow="1" w:lastRow="0" w:firstColumn="0" w:lastColumn="0"/>
      </w:tblPr>
      <w:tr>
        <w:trPr>
          <w:tblHeader/>
        </w:trPr>
        <w:tc>
          <w:tcPr>
            <w:tcW w:w="15%" w:type="pct"/>
          </w:tcPr>
          <w:p>
            <w:pPr>
              <w:pStyle w:val="Tabletitle"/>
            </w:pPr>
            <w:r>
              <w:rPr/>
              <w:t xml:space="preserve">Equipment item and point description</w:t>
            </w:r>
          </w:p>
        </w:tc>
        <w:tc>
          <w:tcPr>
            <w:tcW w:w="17%" w:type="pct"/>
          </w:tcPr>
          <w:p>
            <w:pPr>
              <w:pStyle w:val="Tabletitle"/>
            </w:pPr>
            <w:r>
              <w:rPr/>
              <w:t xml:space="preserve">Point type</w:t>
            </w:r>
          </w:p>
        </w:tc>
        <w:tc>
          <w:tcPr>
            <w:tcW w:w="17%" w:type="pct"/>
          </w:tcPr>
          <w:p>
            <w:pPr>
              <w:pStyle w:val="Tabletitle"/>
            </w:pPr>
            <w:r>
              <w:rPr/>
              <w:t xml:space="preserve">Scheduled</w:t>
            </w:r>
          </w:p>
        </w:tc>
        <w:tc>
          <w:tcPr>
            <w:tcW w:w="17%" w:type="pct"/>
          </w:tcPr>
          <w:p>
            <w:pPr>
              <w:pStyle w:val="Tabletitle"/>
            </w:pPr>
            <w:r>
              <w:rPr/>
              <w:t xml:space="preserve">Trend log</w:t>
            </w:r>
          </w:p>
        </w:tc>
        <w:tc>
          <w:tcPr>
            <w:tcW w:w="17%" w:type="pct"/>
          </w:tcPr>
          <w:p>
            <w:pPr>
              <w:pStyle w:val="Tabletitle"/>
            </w:pPr>
            <w:r>
              <w:rPr/>
              <w:t xml:space="preserve">Alarm</w:t>
            </w:r>
          </w:p>
        </w:tc>
        <w:tc>
          <w:tcPr>
            <w:tcW w:w="17%" w:type="pct"/>
          </w:tcPr>
          <w:p>
            <w:pPr>
              <w:pStyle w:val="Tabletitle"/>
            </w:pPr>
            <w:r>
              <w:rPr/>
              <w:t xml:space="preserve">Include in graphic</w:t>
            </w:r>
          </w:p>
        </w:tc>
      </w:tr>
      <w:tr>
        <w:trPr/>
        <w:tc>
          <w:tcPr>
            <w:tcW w:w="15%" w:type="pct"/>
          </w:tcPr>
          <w:p>
            <w:pPr>
              <w:pStyle w:val="Tabletext"/>
            </w:pPr>
          </w:p>
        </w:tc>
        <w:tc>
          <w:tcPr>
            <w:tcW w:w="17%" w:type="pct"/>
          </w:tcPr>
          <w:p>
            <w:pPr>
              <w:pStyle w:val="Tabletext"/>
            </w:pPr>
          </w:p>
        </w:tc>
        <w:tc>
          <w:tcPr>
            <w:tcW w:w="17%" w:type="pct"/>
          </w:tcPr>
          <w:p>
            <w:pPr>
              <w:pStyle w:val="Tabletext"/>
            </w:pPr>
          </w:p>
        </w:tc>
        <w:tc>
          <w:tcPr>
            <w:tcW w:w="17%" w:type="pct"/>
          </w:tcPr>
          <w:p>
            <w:pPr>
              <w:pStyle w:val="Tabletext"/>
            </w:pPr>
          </w:p>
        </w:tc>
        <w:tc>
          <w:tcPr>
            <w:tcW w:w="17%" w:type="pct"/>
          </w:tcPr>
          <w:p>
            <w:pPr>
              <w:pStyle w:val="Tabletext"/>
            </w:pPr>
          </w:p>
        </w:tc>
        <w:tc>
          <w:tcPr>
            <w:tcW w:w="17%" w:type="pct"/>
          </w:tcPr>
          <w:p>
            <w:pPr>
              <w:pStyle w:val="Tabletext"/>
            </w:pPr>
          </w:p>
        </w:tc>
      </w:tr>
      <w:tr>
        <w:trPr/>
        <w:tc>
          <w:tcPr>
            <w:tcW w:w="15%" w:type="pct"/>
          </w:tcPr>
          <w:p>
            <w:pPr>
              <w:pStyle w:val="Tabletext"/>
            </w:pPr>
          </w:p>
        </w:tc>
        <w:tc>
          <w:tcPr>
            <w:tcW w:w="17%" w:type="pct"/>
          </w:tcPr>
          <w:p>
            <w:pPr>
              <w:pStyle w:val="Tabletext"/>
            </w:pPr>
          </w:p>
        </w:tc>
        <w:tc>
          <w:tcPr>
            <w:tcW w:w="17%" w:type="pct"/>
          </w:tcPr>
          <w:p>
            <w:pPr>
              <w:pStyle w:val="Tabletext"/>
            </w:pPr>
          </w:p>
        </w:tc>
        <w:tc>
          <w:tcPr>
            <w:tcW w:w="17%" w:type="pct"/>
          </w:tcPr>
          <w:p>
            <w:pPr>
              <w:pStyle w:val="Tabletext"/>
            </w:pPr>
          </w:p>
        </w:tc>
        <w:tc>
          <w:tcPr>
            <w:tcW w:w="17%" w:type="pct"/>
          </w:tcPr>
          <w:p>
            <w:pPr>
              <w:pStyle w:val="Tabletext"/>
            </w:pPr>
          </w:p>
        </w:tc>
        <w:tc>
          <w:tcPr>
            <w:tcW w:w="17%" w:type="pct"/>
          </w:tcPr>
          <w:p>
            <w:pPr>
              <w:pStyle w:val="Tabletext"/>
            </w:pPr>
          </w:p>
        </w:tc>
      </w:tr>
      <w:tr>
        <w:trPr/>
        <w:tc>
          <w:tcPr>
            <w:tcW w:w="15%" w:type="pct"/>
          </w:tcPr>
          <w:p>
            <w:pPr>
              <w:pStyle w:val="Tabletext"/>
            </w:pPr>
          </w:p>
        </w:tc>
        <w:tc>
          <w:tcPr>
            <w:tcW w:w="17%" w:type="pct"/>
          </w:tcPr>
          <w:p>
            <w:pPr>
              <w:pStyle w:val="Tabletext"/>
            </w:pPr>
          </w:p>
        </w:tc>
        <w:tc>
          <w:tcPr>
            <w:tcW w:w="17%" w:type="pct"/>
          </w:tcPr>
          <w:p>
            <w:pPr>
              <w:pStyle w:val="Tabletext"/>
            </w:pPr>
          </w:p>
        </w:tc>
        <w:tc>
          <w:tcPr>
            <w:tcW w:w="17%" w:type="pct"/>
          </w:tcPr>
          <w:p>
            <w:pPr>
              <w:pStyle w:val="Tabletext"/>
            </w:pPr>
          </w:p>
        </w:tc>
        <w:tc>
          <w:tcPr>
            <w:tcW w:w="17%" w:type="pct"/>
          </w:tcPr>
          <w:p>
            <w:pPr>
              <w:pStyle w:val="Tabletext"/>
            </w:pPr>
          </w:p>
        </w:tc>
        <w:tc>
          <w:tcPr>
            <w:tcW w:w="17%" w:type="pct"/>
          </w:tcPr>
          <w:p>
            <w:pPr>
              <w:pStyle w:val="Tabletext"/>
            </w:pPr>
          </w:p>
        </w:tc>
      </w:tr>
      <w:tr>
        <w:trPr/>
        <w:tc>
          <w:tcPr>
            <w:gridSpan w:val="6"/>
            <w:tcW w:w="15%" w:type="pct"/>
          </w:tcPr>
          <w:p>
            <w:pPr>
              <w:pStyle w:val="Tabletext"/>
            </w:pPr>
            <w:r>
              <w:rPr>
                <w:b/>
              </w:rPr>
              <w:t xml:space="preserve">Legend</w:t>
            </w:r>
          </w:p>
          <w:p>
            <w:pPr>
              <w:pStyle w:val="Tabletext"/>
            </w:pPr>
            <w:r>
              <w:rPr/>
              <w:t xml:space="preserve">AI: Analog input (hardware point).</w:t>
            </w:r>
          </w:p>
          <w:p>
            <w:pPr>
              <w:pStyle w:val="Tabletext"/>
            </w:pPr>
            <w:r>
              <w:rPr/>
              <w:t xml:space="preserve">AO: Analog output (hardware point).</w:t>
            </w:r>
          </w:p>
          <w:p>
            <w:pPr>
              <w:pStyle w:val="Tabletext"/>
            </w:pPr>
            <w:r>
              <w:rPr/>
              <w:t xml:space="preserve">DI: Digital input (hardware point).</w:t>
            </w:r>
          </w:p>
          <w:p>
            <w:pPr>
              <w:pStyle w:val="Tabletext"/>
            </w:pPr>
            <w:r>
              <w:rPr/>
              <w:t xml:space="preserve">DO: Digital output (hardware point).</w:t>
            </w:r>
          </w:p>
        </w:tc>
      </w:tr>
    </w:tbl>
    <w:p>
      <w:r>
        <w:t xml:space="preserve"> </w:t>
      </w:r>
    </w:p>
    <w:p>
      <w:pPr>
        <w:pStyle w:val="Instructions"/>
      </w:pPr>
      <w:r>
        <w:rPr/>
        <w:t xml:space="preserve">Use this schedule to define interface requirements to the building management system so their values can be transmitted to the BMS.</w:t>
      </w:r>
    </w:p>
    <w:p>
      <w:pPr>
        <w:pStyle w:val="Instructions"/>
      </w:pPr>
      <w:r>
        <w:rPr/>
        <w:t xml:space="preserve">Other possible inclusions are software points, e.g. AV (analog value), BV (binary value).</w:t>
      </w:r>
    </w:p>
    <w:p>
      <w:pPr>
        <w:pStyle w:val="Instructions"/>
      </w:pPr>
      <w:r>
        <w:rPr/>
        <w:t xml:space="preserve">Points schedules are often restricted to hardware points. However, software points may be included so their values can be transmitted to the BMS. Exercise caution if including software points. Failure to include points may give rise to variations.</w:t>
      </w:r>
    </w:p>
    <w:bookmarkEnd w:id="524"/>
    <w:bookmarkStart w:name="f-10699-10" w:id="526"/>
    <w:p>
      <w:pPr>
        <w:pStyle w:val="Instructions"/>
      </w:pPr>
      <w:r>
        <w:rPr>
          <w:b/>
        </w:rPr>
        <w:t xml:space="preserve">Key to schedule</w:t>
      </w:r>
    </w:p>
    <w:p>
      <w:pPr>
        <w:pStyle w:val="Instructions"/>
      </w:pPr>
      <w:r>
        <w:rPr/>
        <w:t xml:space="preserve">Equipment item and point description: e.g. Cool room temperature.</w:t>
      </w:r>
    </w:p>
    <w:p>
      <w:pPr>
        <w:pStyle w:val="Instructions"/>
      </w:pPr>
      <w:r>
        <w:rPr/>
        <w:t xml:space="preserve">Point type: See </w:t>
      </w:r>
      <w:r>
        <w:rPr>
          <w:b/>
        </w:rPr>
        <w:t xml:space="preserve">Legend</w:t>
      </w:r>
      <w:r>
        <w:rPr/>
        <w:t xml:space="preserve">.</w:t>
      </w:r>
    </w:p>
    <w:p>
      <w:pPr>
        <w:pStyle w:val="Instructions"/>
      </w:pPr>
      <w:r>
        <w:rPr/>
        <w:t xml:space="preserve">Scheduled: Insert time schedule if scheduled.</w:t>
      </w:r>
    </w:p>
    <w:p>
      <w:pPr>
        <w:pStyle w:val="Instructions"/>
      </w:pPr>
      <w:r>
        <w:rPr/>
        <w:t xml:space="preserve">Trend log: If logging is required, e.g. Required, not required.</w:t>
      </w:r>
    </w:p>
    <w:p>
      <w:pPr>
        <w:pStyle w:val="Instructions"/>
      </w:pPr>
      <w:r>
        <w:rPr/>
        <w:t xml:space="preserve">Alarm: If alarm is required, e.g. Required, not required.</w:t>
      </w:r>
    </w:p>
    <w:p>
      <w:pPr>
        <w:pStyle w:val="Instructions"/>
      </w:pPr>
      <w:r>
        <w:rPr/>
        <w:t xml:space="preserve">Include in graphic: If the point is to be included in a BMS graphic, e.g. Yes, no.</w:t>
      </w:r>
    </w:p>
    <w:bookmarkEnd w:id="526"/>
    <w:bookmarkStart w:name="f-10699-11" w:id="527"/>
    <w:p>
      <w:pPr>
        <w:pStyle w:val="Instructions"/>
      </w:pPr>
      <w:r>
        <w:rPr>
          <w:b/>
        </w:rPr>
        <w:t xml:space="preserve">Adapting the Cool room BMS points schedule for design by contractor</w:t>
      </w:r>
    </w:p>
    <w:p>
      <w:pPr>
        <w:pStyle w:val="Instructions"/>
      </w:pPr>
      <w:r>
        <w:rPr/>
        <w:t xml:space="preserve">Insert the information described in the above guidance.</w:t>
      </w:r>
    </w:p>
    <w:bookmarkEnd w:id="527"/>
    <w:bookmarkStart w:name="f-10699-7" w:id="528"/>
    <w:p>
      <w:pPr>
        <w:pStyle w:val="Heading3"/>
      </w:pPr>
      <w:bookmarkStart w:name="h-10699-7" w:id="529"/>
      <w:r>
        <w:rPr/>
        <w:t xml:space="preserve">COOL ROOM ACCESSORIES</w:t>
      </w:r>
      <w:bookmarkEnd w:id="529"/>
    </w:p>
    <w:bookmarkEnd w:id="528"/>
    <w:bookmarkStart w:name="f-10699-8" w:id="530"/>
    <w:p>
      <w:pPr>
        <w:pStyle w:val="Heading4"/>
      </w:pPr>
      <w:bookmarkStart w:name="h-10699-8" w:id="531"/>
      <w:r>
        <w:rPr/>
        <w:t xml:space="preserve">Shelving schedule</w:t>
      </w:r>
      <w:bookmarkEnd w:id="531"/>
    </w:p>
    <w:tbl>
      <w:tblPr>
        <w:tblStyle w:val="NATSPECTable"/>
        <w:tblW w:w="5000" w:type="pct"/>
        <w:tblLook w:firstRow="1" w:lastRow="0" w:firstColumn="0" w:lastColumn="0"/>
      </w:tblPr>
      <w:tr>
        <w:trPr>
          <w:tblHeader/>
        </w:trPr>
        <w:tc>
          <w:tcPr>
            <w:tcW w:w="40.0%" w:type="pct"/>
          </w:tcPr>
          <w:p>
            <w:pPr>
              <w:pStyle w:val="Tabletitle"/>
            </w:pPr>
          </w:p>
        </w:tc>
        <w:tc>
          <w:tcPr>
            <w:tcW w:w="20.0%" w:type="pct"/>
          </w:tcPr>
          <w:p>
            <w:pPr>
              <w:pStyle w:val="Tabletitle"/>
            </w:pPr>
            <w:r>
              <w:rPr/>
              <w:t xml:space="preserve">Cool room 1</w:t>
            </w:r>
          </w:p>
        </w:tc>
        <w:tc>
          <w:tcPr>
            <w:tcW w:w="20.0%" w:type="pct"/>
          </w:tcPr>
          <w:p>
            <w:pPr>
              <w:pStyle w:val="Tabletitle"/>
            </w:pPr>
            <w:r>
              <w:rPr/>
              <w:t xml:space="preserve">Cool room 2</w:t>
            </w:r>
          </w:p>
        </w:tc>
        <w:tc>
          <w:tcPr>
            <w:tcW w:w="20.0%" w:type="pct"/>
          </w:tcPr>
          <w:p>
            <w:pPr>
              <w:pStyle w:val="Tabletitle"/>
            </w:pPr>
            <w:r>
              <w:rPr/>
              <w:t xml:space="preserve">Cool room 3</w:t>
            </w:r>
          </w:p>
        </w:tc>
      </w:tr>
      <w:tr>
        <w:trPr/>
        <w:tc>
          <w:tcPr>
            <w:tcW w:w="40.0%" w:type="pct"/>
          </w:tcPr>
          <w:p>
            <w:pPr>
              <w:pStyle w:val="Tabletext"/>
            </w:pPr>
            <w:r>
              <w:rPr/>
              <w:t xml:space="preserve">Number of shelving modules</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Size of modules (width x depth x height) (mm)</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Number of shelves per module</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Post and frame material</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Shelf material</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Number of dunnage shelves</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Size of dunnage shelves (width x depth x height) (mm)</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Dunnage shelf material</w:t>
            </w:r>
          </w:p>
        </w:tc>
        <w:tc>
          <w:tcPr>
            <w:tcW w:w="20.0%" w:type="pct"/>
          </w:tcPr>
          <w:p>
            <w:pPr>
              <w:pStyle w:val="Tabletext"/>
            </w:pPr>
          </w:p>
        </w:tc>
        <w:tc>
          <w:tcPr>
            <w:tcW w:w="20.0%" w:type="pct"/>
          </w:tcPr>
          <w:p>
            <w:pPr>
              <w:pStyle w:val="Tabletext"/>
            </w:pPr>
          </w:p>
        </w:tc>
        <w:tc>
          <w:tcPr>
            <w:tcW w:w="20.0%" w:type="pct"/>
          </w:tcPr>
          <w:p>
            <w:pPr>
              <w:pStyle w:val="Tabletext"/>
            </w:pPr>
          </w:p>
        </w:tc>
      </w:tr>
    </w:tbl>
    <w:p>
      <w:r>
        <w:t xml:space="preserve"> </w:t>
      </w:r>
    </w:p>
    <w:bookmarkStart w:name="f-2_8767" w:id="532"/>
    <w:bookmarkStart w:name="f-2_8767-1" w:id="533"/>
    <w:p>
      <w:pPr>
        <w:pStyle w:val="Instructions"/>
      </w:pPr>
      <w:r>
        <w:rPr/>
        <w:t xml:space="preserve">The codes in the header row of the schedule designate each application or location of the item scheduled. Edit the codes to match those in other contract documents.</w:t>
      </w:r>
    </w:p>
    <w:bookmarkEnd w:id="533"/>
    <w:bookmarkEnd w:id="532"/>
    <w:p>
      <w:pPr>
        <w:pStyle w:val="Instructions"/>
      </w:pPr>
      <w:r>
        <w:rPr/>
        <w:t xml:space="preserve">Some or all of the details in this schedule may be shown on the drawings and deleted from the schedule.</w:t>
      </w:r>
    </w:p>
    <w:p>
      <w:pPr>
        <w:pStyle w:val="Instructions"/>
      </w:pPr>
      <w:r>
        <w:rPr/>
        <w:t xml:space="preserve">Post and frame material: e.g. Metallic‑coated steel, stainless steel.</w:t>
      </w:r>
    </w:p>
    <w:p>
      <w:pPr>
        <w:pStyle w:val="Instructions"/>
      </w:pPr>
      <w:r>
        <w:rPr/>
        <w:t xml:space="preserve">Shelf material: e.g. ABS, metallic‑coated steel, stainless steel.</w:t>
      </w:r>
    </w:p>
    <w:p>
      <w:pPr>
        <w:pStyle w:val="Instructions"/>
      </w:pPr>
      <w:r>
        <w:rPr/>
        <w:t xml:space="preserve">Dunnage shelf material: e.g. Metallic‑coated steel, stainless steel.</w:t>
      </w:r>
    </w:p>
    <w:bookmarkEnd w:id="530"/>
    <w:bookmarkStart w:name="f-10699-12" w:id="534"/>
    <w:p>
      <w:pPr>
        <w:pStyle w:val="Instructions"/>
      </w:pPr>
      <w:r>
        <w:rPr>
          <w:b/>
        </w:rPr>
        <w:t xml:space="preserve">Adapting the Shelving schedule for design by contractor</w:t>
      </w:r>
    </w:p>
    <w:p>
      <w:pPr>
        <w:pStyle w:val="Instructions"/>
      </w:pPr>
      <w:r>
        <w:rPr/>
        <w:t xml:space="preserve">Insert the information described in the above guidance.</w:t>
      </w:r>
    </w:p>
    <w:bookmarkEnd w:id="534"/>
    <w:bookmarkEnd w:id="506"/>
    <w:bookmarkEnd w:id="28"/>
    <w:bookmarkStart w:name="f-10702-bibliography" w:id="535"/>
    <w:bookmarkStart w:name="f-10700" w:id="536"/>
    <w:bookmarkStart w:name="f-10700-1" w:id="537"/>
    <w:p>
      <w:pPr>
        <w:pStyle w:val="InstructionsHeading4"/>
      </w:pPr>
      <w:bookmarkStart w:name="h-10700-1" w:id="538"/>
      <w:r>
        <w:rPr/>
        <w:t xml:space="preserve">REFERENCED DOCUMENTS</w:t>
      </w:r>
      <w:bookmarkEnd w:id="538"/>
    </w:p>
    <w:bookmarkEnd w:id="537"/>
    <w:p>
      <w:pPr>
        <w:pStyle w:val="Instructions"/>
      </w:pPr>
      <w:r>
        <w:rPr>
          <w:b/>
        </w:rPr>
        <w:t xml:space="preserve">The following documents are incorporated into this worksection by reference:</w:t>
      </w:r>
    </w:p>
    <w:bookmarkStart w:name="f-10700-10_00817_000-000_2016" w:id="539"/>
    <w:p>
      <w:pPr>
        <w:pStyle w:val="Standard1"/>
      </w:pPr>
      <w:r>
        <w:rPr/>
        <w:t xml:space="preserve">AS/NZS ISO 817</w:t>
      </w:r>
      <w:r>
        <w:tab/>
      </w:r>
      <w:r>
        <w:rPr/>
        <w:t xml:space="preserve">2016</w:t>
      </w:r>
      <w:r>
        <w:tab/>
      </w:r>
      <w:r>
        <w:rPr/>
        <w:t xml:space="preserve">Refrigerants - Designation and safety classification</w:t>
      </w:r>
    </w:p>
    <w:bookmarkEnd w:id="539"/>
    <w:bookmarkStart w:name="f-10700-10_01192_000-000_2004" w:id="540"/>
    <w:p>
      <w:pPr>
        <w:pStyle w:val="Standard1"/>
      </w:pPr>
      <w:r>
        <w:rPr/>
        <w:t xml:space="preserve">AS 1192</w:t>
      </w:r>
      <w:r>
        <w:tab/>
      </w:r>
      <w:r>
        <w:rPr/>
        <w:t xml:space="preserve">2004</w:t>
      </w:r>
      <w:r>
        <w:tab/>
      </w:r>
      <w:r>
        <w:rPr/>
        <w:t xml:space="preserve">Electroplated coatings - Nickel and chromium</w:t>
      </w:r>
    </w:p>
    <w:bookmarkEnd w:id="540"/>
    <w:bookmarkStart w:name="f-10700-10_01319_000-000_1994" w:id="541"/>
    <w:p>
      <w:pPr>
        <w:pStyle w:val="Standard1"/>
      </w:pPr>
      <w:r>
        <w:rPr/>
        <w:t xml:space="preserve">AS 1319</w:t>
      </w:r>
      <w:r>
        <w:tab/>
      </w:r>
      <w:r>
        <w:rPr/>
        <w:t xml:space="preserve">1994</w:t>
      </w:r>
      <w:r>
        <w:tab/>
      </w:r>
      <w:r>
        <w:rPr/>
        <w:t xml:space="preserve">Safety signs for the occupational environment</w:t>
      </w:r>
    </w:p>
    <w:bookmarkEnd w:id="541"/>
    <w:bookmarkStart w:name="f-10700-10_01366_000-000" w:id="542"/>
    <w:p>
      <w:pPr>
        <w:pStyle w:val="Standard1"/>
      </w:pPr>
      <w:r>
        <w:rPr/>
        <w:t xml:space="preserve">AS 1366</w:t>
      </w:r>
      <w:r>
        <w:tab/>
      </w:r>
      <w:r>
        <w:tab/>
      </w:r>
      <w:r>
        <w:rPr/>
        <w:t xml:space="preserve">Rigid cellular plastics sheets for thermal insulation</w:t>
      </w:r>
    </w:p>
    <w:bookmarkEnd w:id="542"/>
    <w:bookmarkStart w:name="f-10700-10_01366_003-000_1992" w:id="543"/>
    <w:p>
      <w:pPr>
        <w:pStyle w:val="Standard2"/>
      </w:pPr>
      <w:r>
        <w:rPr/>
        <w:t xml:space="preserve">AS 1366.3</w:t>
      </w:r>
      <w:r>
        <w:tab/>
      </w:r>
      <w:r>
        <w:rPr/>
        <w:t xml:space="preserve">1992</w:t>
      </w:r>
      <w:r>
        <w:tab/>
      </w:r>
      <w:r>
        <w:rPr/>
        <w:t xml:space="preserve">Rigid cellular polystyrene - Moulded (RC/PS - M)</w:t>
      </w:r>
    </w:p>
    <w:bookmarkEnd w:id="543"/>
    <w:bookmarkStart w:name="f-10700-10_01530_000-000" w:id="544"/>
    <w:p>
      <w:pPr>
        <w:pStyle w:val="Standard1"/>
      </w:pPr>
      <w:r>
        <w:rPr/>
        <w:t xml:space="preserve">AS 1530</w:t>
      </w:r>
      <w:r>
        <w:tab/>
      </w:r>
      <w:r>
        <w:tab/>
      </w:r>
      <w:r>
        <w:rPr/>
        <w:t xml:space="preserve">Methods for fire tests on building materials, components and structures</w:t>
      </w:r>
    </w:p>
    <w:bookmarkEnd w:id="544"/>
    <w:bookmarkStart w:name="f-10700-10_01530_003-000_1999" w:id="545"/>
    <w:p>
      <w:pPr>
        <w:pStyle w:val="Standard2"/>
      </w:pPr>
      <w:r>
        <w:rPr/>
        <w:t xml:space="preserve">AS/NZS 1530.3</w:t>
      </w:r>
      <w:r>
        <w:tab/>
      </w:r>
      <w:r>
        <w:rPr/>
        <w:t xml:space="preserve">1999</w:t>
      </w:r>
      <w:r>
        <w:tab/>
      </w:r>
      <w:r>
        <w:rPr/>
        <w:t xml:space="preserve">Simultaneous determination of ignitability, flame propagation, heat release and smoke release</w:t>
      </w:r>
    </w:p>
    <w:bookmarkEnd w:id="545"/>
    <w:bookmarkStart w:name="f-10700-10_01530_004-000_2014" w:id="546"/>
    <w:p>
      <w:pPr>
        <w:pStyle w:val="Standard2"/>
      </w:pPr>
      <w:r>
        <w:rPr/>
        <w:t xml:space="preserve">AS 1530.4</w:t>
      </w:r>
      <w:r>
        <w:tab/>
      </w:r>
      <w:r>
        <w:rPr/>
        <w:t xml:space="preserve">2014</w:t>
      </w:r>
      <w:r>
        <w:tab/>
      </w:r>
      <w:r>
        <w:rPr/>
        <w:t xml:space="preserve">Fire-resistance tests for elements of construction</w:t>
      </w:r>
    </w:p>
    <w:bookmarkEnd w:id="546"/>
    <w:bookmarkStart w:name="f-10700-10_01569_000-000_1998" w:id="547"/>
    <w:p>
      <w:pPr>
        <w:pStyle w:val="Standard1"/>
      </w:pPr>
      <w:r>
        <w:rPr/>
        <w:t xml:space="preserve">AS 1569</w:t>
      </w:r>
      <w:r>
        <w:tab/>
      </w:r>
      <w:r>
        <w:rPr/>
        <w:t xml:space="preserve">1998</w:t>
      </w:r>
      <w:r>
        <w:tab/>
      </w:r>
      <w:r>
        <w:rPr/>
        <w:t xml:space="preserve">Copper and copper alloys - Seamless tubes for heat exchangers</w:t>
      </w:r>
    </w:p>
    <w:bookmarkEnd w:id="547"/>
    <w:bookmarkStart w:name="f-10700-10_01571_000-000_2020" w:id="548"/>
    <w:p>
      <w:pPr>
        <w:pStyle w:val="Standard1"/>
      </w:pPr>
      <w:r>
        <w:rPr/>
        <w:t xml:space="preserve">AS 1571</w:t>
      </w:r>
      <w:r>
        <w:tab/>
      </w:r>
      <w:r>
        <w:rPr/>
        <w:t xml:space="preserve">2020</w:t>
      </w:r>
      <w:r>
        <w:tab/>
      </w:r>
      <w:r>
        <w:rPr/>
        <w:t xml:space="preserve">Copper - Seamless tubes for air-conditioning and refrigeration</w:t>
      </w:r>
    </w:p>
    <w:bookmarkEnd w:id="548"/>
    <w:bookmarkStart w:name="f-10700-10_01572_000-000_2023" w:id="549"/>
    <w:p>
      <w:pPr>
        <w:pStyle w:val="Standard1"/>
      </w:pPr>
      <w:r>
        <w:rPr/>
        <w:t xml:space="preserve">AS 1572</w:t>
      </w:r>
      <w:r>
        <w:tab/>
      </w:r>
      <w:r>
        <w:rPr/>
        <w:t xml:space="preserve">2023</w:t>
      </w:r>
      <w:r>
        <w:tab/>
      </w:r>
      <w:r>
        <w:rPr/>
        <w:t xml:space="preserve">Copper and copper alloys - Seamless tubes for engineering purposes</w:t>
      </w:r>
    </w:p>
    <w:bookmarkEnd w:id="549"/>
    <w:bookmarkStart w:name="f-10700-10_02129_000-000_2000" w:id="550"/>
    <w:p>
      <w:pPr>
        <w:pStyle w:val="Standard1"/>
      </w:pPr>
      <w:r>
        <w:rPr/>
        <w:t xml:space="preserve">AS 2129</w:t>
      </w:r>
      <w:r>
        <w:tab/>
      </w:r>
      <w:r>
        <w:rPr/>
        <w:t xml:space="preserve">2000</w:t>
      </w:r>
      <w:r>
        <w:tab/>
      </w:r>
      <w:r>
        <w:rPr/>
        <w:t xml:space="preserve">Flanges for pipes, valves and fittings</w:t>
      </w:r>
    </w:p>
    <w:bookmarkEnd w:id="550"/>
    <w:bookmarkStart w:name="f-10700-10_02208_000-000_1996" w:id="551"/>
    <w:p>
      <w:pPr>
        <w:pStyle w:val="Standard1"/>
      </w:pPr>
      <w:r>
        <w:rPr/>
        <w:t xml:space="preserve">AS/NZS 2208</w:t>
      </w:r>
      <w:r>
        <w:tab/>
      </w:r>
      <w:r>
        <w:rPr/>
        <w:t xml:space="preserve">2023</w:t>
      </w:r>
      <w:r>
        <w:tab/>
      </w:r>
      <w:r>
        <w:rPr/>
        <w:t xml:space="preserve">Safety glazing materials in buildings</w:t>
      </w:r>
    </w:p>
    <w:bookmarkEnd w:id="551"/>
    <w:bookmarkStart w:name="f-10700-10_02239_000-000_2003" w:id="552"/>
    <w:p>
      <w:pPr>
        <w:pStyle w:val="Standard1"/>
      </w:pPr>
      <w:r>
        <w:rPr/>
        <w:t xml:space="preserve">AS 2239</w:t>
      </w:r>
      <w:r>
        <w:tab/>
      </w:r>
      <w:r>
        <w:rPr/>
        <w:t xml:space="preserve">2003</w:t>
      </w:r>
      <w:r>
        <w:tab/>
      </w:r>
      <w:r>
        <w:rPr/>
        <w:t xml:space="preserve">Galvanic (sacrificial) anodes for cathodic protection</w:t>
      </w:r>
    </w:p>
    <w:bookmarkEnd w:id="552"/>
    <w:bookmarkStart w:name="f-10700-10_02272_000-000_2006" w:id="553"/>
    <w:p>
      <w:pPr>
        <w:pStyle w:val="Standard1"/>
      </w:pPr>
      <w:r>
        <w:rPr/>
        <w:t xml:space="preserve">AS/NZS 2272</w:t>
      </w:r>
      <w:r>
        <w:tab/>
      </w:r>
      <w:r>
        <w:rPr/>
        <w:t xml:space="preserve">2006</w:t>
      </w:r>
      <w:r>
        <w:tab/>
      </w:r>
      <w:r>
        <w:rPr/>
        <w:t xml:space="preserve">Plywood - Marine</w:t>
      </w:r>
    </w:p>
    <w:bookmarkEnd w:id="553"/>
    <w:bookmarkStart w:name="f-10700-10_02293_000-000" w:id="554"/>
    <w:p>
      <w:pPr>
        <w:pStyle w:val="Standard1"/>
      </w:pPr>
      <w:r>
        <w:rPr/>
        <w:t xml:space="preserve">AS/NZS 2293</w:t>
      </w:r>
      <w:r>
        <w:tab/>
      </w:r>
      <w:r>
        <w:tab/>
      </w:r>
      <w:r>
        <w:rPr/>
        <w:t xml:space="preserve">Emergency lighting and exit signs for buildings</w:t>
      </w:r>
    </w:p>
    <w:bookmarkEnd w:id="554"/>
    <w:bookmarkStart w:name="f-10700-10_02293_001-000_2018" w:id="555"/>
    <w:p>
      <w:pPr>
        <w:pStyle w:val="Standard2"/>
      </w:pPr>
      <w:r>
        <w:rPr/>
        <w:t xml:space="preserve">AS/NZS 2293.1</w:t>
      </w:r>
      <w:r>
        <w:tab/>
      </w:r>
      <w:r>
        <w:rPr/>
        <w:t xml:space="preserve">2018</w:t>
      </w:r>
      <w:r>
        <w:tab/>
      </w:r>
      <w:r>
        <w:rPr/>
        <w:t xml:space="preserve">System design, installation and operation</w:t>
      </w:r>
    </w:p>
    <w:bookmarkEnd w:id="555"/>
    <w:bookmarkStart w:name="f-10700-10_02848_000-000" w:id="556"/>
    <w:p>
      <w:pPr>
        <w:pStyle w:val="Standard1"/>
      </w:pPr>
      <w:r>
        <w:rPr/>
        <w:t xml:space="preserve">AS 2848</w:t>
      </w:r>
      <w:r>
        <w:tab/>
      </w:r>
      <w:r>
        <w:tab/>
      </w:r>
      <w:r>
        <w:rPr/>
        <w:t xml:space="preserve">Aluminium and aluminium alloys - Compositions and designations</w:t>
      </w:r>
    </w:p>
    <w:bookmarkEnd w:id="556"/>
    <w:bookmarkStart w:name="f-10700-10_02848_001-000_1998" w:id="557"/>
    <w:p>
      <w:pPr>
        <w:pStyle w:val="Standard2"/>
      </w:pPr>
      <w:r>
        <w:rPr/>
        <w:t xml:space="preserve">AS 2848.1</w:t>
      </w:r>
      <w:r>
        <w:tab/>
      </w:r>
      <w:r>
        <w:rPr/>
        <w:t xml:space="preserve">1998</w:t>
      </w:r>
      <w:r>
        <w:tab/>
      </w:r>
      <w:r>
        <w:rPr/>
        <w:t xml:space="preserve">Wrought products</w:t>
      </w:r>
    </w:p>
    <w:bookmarkEnd w:id="557"/>
    <w:bookmarkStart w:name="f-10700-10_02870_000-000_2011" w:id="558"/>
    <w:p>
      <w:pPr>
        <w:pStyle w:val="Standard1"/>
      </w:pPr>
      <w:r>
        <w:rPr/>
        <w:t xml:space="preserve">AS 2870</w:t>
      </w:r>
      <w:r>
        <w:tab/>
      </w:r>
      <w:r>
        <w:rPr/>
        <w:t xml:space="preserve">2011</w:t>
      </w:r>
      <w:r>
        <w:tab/>
      </w:r>
      <w:r>
        <w:rPr/>
        <w:t xml:space="preserve">Residential slabs and footings</w:t>
      </w:r>
    </w:p>
    <w:bookmarkEnd w:id="558"/>
    <w:bookmarkStart w:name="f-10700-10_03500_000-000" w:id="559"/>
    <w:p>
      <w:pPr>
        <w:pStyle w:val="Standard1"/>
      </w:pPr>
      <w:r>
        <w:rPr/>
        <w:t xml:space="preserve">AS/NZS 3500</w:t>
      </w:r>
      <w:r>
        <w:tab/>
      </w:r>
      <w:r>
        <w:tab/>
      </w:r>
      <w:r>
        <w:rPr/>
        <w:t xml:space="preserve">Plumbing and drainage</w:t>
      </w:r>
    </w:p>
    <w:bookmarkEnd w:id="559"/>
    <w:bookmarkStart w:name="f-10700-10_03500_001-000_2025" w:id="560"/>
    <w:p>
      <w:pPr>
        <w:pStyle w:val="Standard2"/>
      </w:pPr>
      <w:r>
        <w:rPr/>
        <w:t xml:space="preserve">AS/NZS 3500.1</w:t>
      </w:r>
      <w:r>
        <w:tab/>
      </w:r>
      <w:r>
        <w:rPr/>
        <w:t xml:space="preserve">2025</w:t>
      </w:r>
      <w:r>
        <w:tab/>
      </w:r>
      <w:r>
        <w:rPr/>
        <w:t xml:space="preserve">Water services</w:t>
      </w:r>
    </w:p>
    <w:bookmarkEnd w:id="560"/>
    <w:bookmarkStart w:name="f-10700-10_03600_000-000_2018" w:id="561"/>
    <w:p>
      <w:pPr>
        <w:pStyle w:val="Standard1"/>
      </w:pPr>
      <w:r>
        <w:rPr/>
        <w:t xml:space="preserve">AS 3600</w:t>
      </w:r>
      <w:r>
        <w:tab/>
      </w:r>
      <w:r>
        <w:rPr/>
        <w:t xml:space="preserve">2018</w:t>
      </w:r>
      <w:r>
        <w:tab/>
      </w:r>
      <w:r>
        <w:rPr/>
        <w:t xml:space="preserve">Concrete structures</w:t>
      </w:r>
    </w:p>
    <w:bookmarkEnd w:id="561"/>
    <w:bookmarkStart w:name="f-10700-10_03666_000-000" w:id="562"/>
    <w:p>
      <w:pPr>
        <w:pStyle w:val="Standard1"/>
      </w:pPr>
      <w:r>
        <w:rPr/>
        <w:t xml:space="preserve">AS/NZS 3666</w:t>
      </w:r>
      <w:r>
        <w:tab/>
      </w:r>
      <w:r>
        <w:tab/>
      </w:r>
      <w:r>
        <w:rPr/>
        <w:t xml:space="preserve">Air-handling and water systems of buildings - Microbial control</w:t>
      </w:r>
    </w:p>
    <w:bookmarkEnd w:id="562"/>
    <w:bookmarkStart w:name="f-10700-10_03666_001-000_2011" w:id="563"/>
    <w:p>
      <w:pPr>
        <w:pStyle w:val="Standard2"/>
      </w:pPr>
      <w:r>
        <w:rPr/>
        <w:t xml:space="preserve">AS/NZS 3666.1</w:t>
      </w:r>
      <w:r>
        <w:tab/>
      </w:r>
      <w:r>
        <w:rPr/>
        <w:t xml:space="preserve">2011</w:t>
      </w:r>
      <w:r>
        <w:tab/>
      </w:r>
      <w:r>
        <w:rPr/>
        <w:t xml:space="preserve">Design, installation and commissioning</w:t>
      </w:r>
    </w:p>
    <w:bookmarkEnd w:id="563"/>
    <w:bookmarkStart w:name="f-10700-10_03688_000-000_2016" w:id="564"/>
    <w:p>
      <w:pPr>
        <w:pStyle w:val="Standard1"/>
      </w:pPr>
      <w:r>
        <w:rPr/>
        <w:t xml:space="preserve">AS 3688</w:t>
      </w:r>
      <w:r>
        <w:tab/>
      </w:r>
      <w:r>
        <w:rPr/>
        <w:t xml:space="preserve">2016</w:t>
      </w:r>
      <w:r>
        <w:tab/>
      </w:r>
      <w:r>
        <w:rPr/>
        <w:t xml:space="preserve">Water supply and gas systems - Metallic fittings and end connectors</w:t>
      </w:r>
    </w:p>
    <w:bookmarkEnd w:id="564"/>
    <w:bookmarkStart w:name="f-10700-10_04671_000-000_2019" w:id="565"/>
    <w:p>
      <w:pPr>
        <w:pStyle w:val="Standard1"/>
      </w:pPr>
      <w:r>
        <w:rPr/>
        <w:t xml:space="preserve">AS/NZS 4671</w:t>
      </w:r>
      <w:r>
        <w:tab/>
      </w:r>
      <w:r>
        <w:rPr/>
        <w:t xml:space="preserve">2019</w:t>
      </w:r>
      <w:r>
        <w:tab/>
      </w:r>
      <w:r>
        <w:rPr/>
        <w:t xml:space="preserve">Steel for the reinforcement of concrete</w:t>
      </w:r>
    </w:p>
    <w:bookmarkEnd w:id="565"/>
    <w:bookmarkStart w:name="f-10700-10_04674_000-000_2004" w:id="566"/>
    <w:p>
      <w:pPr>
        <w:pStyle w:val="Standard1"/>
      </w:pPr>
      <w:r>
        <w:rPr/>
        <w:t xml:space="preserve">AS 4674</w:t>
      </w:r>
      <w:r>
        <w:tab/>
      </w:r>
      <w:r>
        <w:rPr/>
        <w:t xml:space="preserve">2004</w:t>
      </w:r>
      <w:r>
        <w:tab/>
      </w:r>
      <w:r>
        <w:rPr/>
        <w:t xml:space="preserve">Design, construction and fit-out of food premises</w:t>
      </w:r>
    </w:p>
    <w:bookmarkEnd w:id="566"/>
    <w:bookmarkStart w:name="f-10700-10_04859_000-000" w:id="567"/>
    <w:p>
      <w:pPr>
        <w:pStyle w:val="Standard1"/>
      </w:pPr>
      <w:r>
        <w:rPr/>
        <w:t xml:space="preserve">AS/NZS 4859</w:t>
      </w:r>
      <w:r>
        <w:tab/>
      </w:r>
      <w:r>
        <w:tab/>
      </w:r>
      <w:r>
        <w:rPr/>
        <w:t xml:space="preserve">Thermal insulation materials for buildings</w:t>
      </w:r>
    </w:p>
    <w:bookmarkEnd w:id="567"/>
    <w:bookmarkStart w:name="f-10700-10_04859_001-000_2018" w:id="568"/>
    <w:p>
      <w:pPr>
        <w:pStyle w:val="Standard2"/>
      </w:pPr>
      <w:r>
        <w:rPr/>
        <w:t xml:space="preserve">AS/NZS 4859.1</w:t>
      </w:r>
      <w:r>
        <w:tab/>
      </w:r>
      <w:r>
        <w:rPr/>
        <w:t xml:space="preserve">2018</w:t>
      </w:r>
      <w:r>
        <w:tab/>
      </w:r>
      <w:r>
        <w:rPr/>
        <w:t xml:space="preserve">General criteria and technical provisions</w:t>
      </w:r>
    </w:p>
    <w:bookmarkEnd w:id="568"/>
    <w:bookmarkStart w:name="f-10700-10_05149_000-000" w:id="569"/>
    <w:p>
      <w:pPr>
        <w:pStyle w:val="Standard1"/>
      </w:pPr>
      <w:r>
        <w:rPr/>
        <w:t xml:space="preserve">AS/NZS 5149</w:t>
      </w:r>
      <w:r>
        <w:tab/>
      </w:r>
      <w:r>
        <w:tab/>
      </w:r>
      <w:r>
        <w:rPr/>
        <w:t xml:space="preserve">Refrigerating systems and heat pumps - Safety and environmental requirements</w:t>
      </w:r>
    </w:p>
    <w:bookmarkEnd w:id="569"/>
    <w:bookmarkStart w:name="f-10700-10_05149_001-000_2016" w:id="570"/>
    <w:p>
      <w:pPr>
        <w:pStyle w:val="Standard2"/>
      </w:pPr>
      <w:r>
        <w:rPr/>
        <w:t xml:space="preserve">AS/NZS 5149.1</w:t>
      </w:r>
      <w:r>
        <w:tab/>
      </w:r>
      <w:r>
        <w:rPr/>
        <w:t xml:space="preserve">2016</w:t>
      </w:r>
      <w:r>
        <w:tab/>
      </w:r>
      <w:r>
        <w:rPr/>
        <w:t xml:space="preserve">Definitions, classification and selection criteria (ISO 5149-1:2014, MOD)</w:t>
      </w:r>
    </w:p>
    <w:bookmarkEnd w:id="570"/>
    <w:bookmarkStart w:name="f-10700-10_05149_002-000_2016" w:id="571"/>
    <w:p>
      <w:pPr>
        <w:pStyle w:val="Standard2"/>
      </w:pPr>
      <w:r>
        <w:rPr/>
        <w:t xml:space="preserve">AS/NZS 5149.2</w:t>
      </w:r>
      <w:r>
        <w:tab/>
      </w:r>
      <w:r>
        <w:rPr/>
        <w:t xml:space="preserve">2016</w:t>
      </w:r>
      <w:r>
        <w:tab/>
      </w:r>
      <w:r>
        <w:rPr/>
        <w:t xml:space="preserve">Design, construction, testing, marking and documentation (ISO 5149-2:2014, MOD)</w:t>
      </w:r>
    </w:p>
    <w:bookmarkEnd w:id="571"/>
    <w:bookmarkStart w:name="f-10700-10_05149_003-000_2016" w:id="572"/>
    <w:p>
      <w:pPr>
        <w:pStyle w:val="Standard2"/>
      </w:pPr>
      <w:r>
        <w:rPr/>
        <w:t xml:space="preserve">AS/NZS 5149.3</w:t>
      </w:r>
      <w:r>
        <w:tab/>
      </w:r>
      <w:r>
        <w:rPr/>
        <w:t xml:space="preserve">2016</w:t>
      </w:r>
      <w:r>
        <w:tab/>
      </w:r>
      <w:r>
        <w:rPr/>
        <w:t xml:space="preserve">Installation site (ISO 5149-3:2014, MOD)</w:t>
      </w:r>
    </w:p>
    <w:bookmarkEnd w:id="572"/>
    <w:bookmarkStart w:name="f-10700-10_05149_004-000_2016" w:id="573"/>
    <w:p>
      <w:pPr>
        <w:pStyle w:val="Standard2"/>
      </w:pPr>
      <w:r>
        <w:rPr/>
        <w:t xml:space="preserve">AS/NZS 5149.4</w:t>
      </w:r>
      <w:r>
        <w:tab/>
      </w:r>
      <w:r>
        <w:rPr/>
        <w:t xml:space="preserve">2016</w:t>
      </w:r>
      <w:r>
        <w:tab/>
      </w:r>
      <w:r>
        <w:rPr/>
        <w:t xml:space="preserve">Operations, maintenance, repair and recovery (ISO 5149-4:2014, MOD)</w:t>
      </w:r>
    </w:p>
    <w:bookmarkEnd w:id="573"/>
    <w:bookmarkStart w:name="f-10700-10_05637_000-000" w:id="574"/>
    <w:p>
      <w:pPr>
        <w:pStyle w:val="Standard1"/>
      </w:pPr>
      <w:r>
        <w:rPr/>
        <w:t xml:space="preserve">AS 5637</w:t>
      </w:r>
      <w:r>
        <w:tab/>
      </w:r>
      <w:r>
        <w:tab/>
      </w:r>
      <w:r>
        <w:rPr/>
        <w:t xml:space="preserve">Determination of fire hazard properties</w:t>
      </w:r>
    </w:p>
    <w:bookmarkEnd w:id="574"/>
    <w:bookmarkStart w:name="f-10700-10_05637_001-000_2015" w:id="575"/>
    <w:p>
      <w:pPr>
        <w:pStyle w:val="Standard2"/>
      </w:pPr>
      <w:r>
        <w:rPr/>
        <w:t xml:space="preserve">AS 5637.1</w:t>
      </w:r>
      <w:r>
        <w:tab/>
      </w:r>
      <w:r>
        <w:rPr/>
        <w:t xml:space="preserve">2015</w:t>
      </w:r>
      <w:r>
        <w:tab/>
      </w:r>
      <w:r>
        <w:rPr/>
        <w:t xml:space="preserve">Wall and ceiling linings</w:t>
      </w:r>
    </w:p>
    <w:bookmarkEnd w:id="575"/>
    <w:bookmarkStart w:name="f-10700-10_17672_000-000_2018" w:id="576"/>
    <w:p>
      <w:pPr>
        <w:pStyle w:val="Standard1"/>
      </w:pPr>
      <w:r>
        <w:rPr/>
        <w:t xml:space="preserve">AS/NZS ISO 17672</w:t>
      </w:r>
      <w:r>
        <w:tab/>
      </w:r>
      <w:r>
        <w:rPr/>
        <w:t xml:space="preserve">2025</w:t>
      </w:r>
      <w:r>
        <w:tab/>
      </w:r>
      <w:r>
        <w:rPr/>
        <w:t xml:space="preserve">Brazing - Filler metals</w:t>
      </w:r>
    </w:p>
    <w:bookmarkEnd w:id="576"/>
    <w:bookmarkStart w:name="f-10700-10_60335_000-000" w:id="577"/>
    <w:p>
      <w:pPr>
        <w:pStyle w:val="Standard1"/>
      </w:pPr>
      <w:r>
        <w:rPr/>
        <w:t xml:space="preserve">AS/NZS 60335</w:t>
      </w:r>
      <w:r>
        <w:tab/>
      </w:r>
      <w:r>
        <w:tab/>
      </w:r>
      <w:r>
        <w:rPr/>
        <w:t xml:space="preserve">Household and similar electrical appliances - Safety</w:t>
      </w:r>
    </w:p>
    <w:bookmarkEnd w:id="577"/>
    <w:bookmarkStart w:name="f-10700-10_60335_001-000_2022" w:id="578"/>
    <w:p>
      <w:pPr>
        <w:pStyle w:val="Standard2"/>
      </w:pPr>
      <w:r>
        <w:rPr/>
        <w:t xml:space="preserve">AS/NZS 60335.1</w:t>
      </w:r>
      <w:r>
        <w:tab/>
      </w:r>
      <w:r>
        <w:rPr/>
        <w:t xml:space="preserve">2022</w:t>
      </w:r>
      <w:r>
        <w:tab/>
      </w:r>
      <w:r>
        <w:rPr/>
        <w:t xml:space="preserve">General requirements (IEC 60335-1 Ed 6, MOD)</w:t>
      </w:r>
    </w:p>
    <w:bookmarkEnd w:id="578"/>
    <w:bookmarkStart w:name="f-10700-10_60335_002-089_2020" w:id="579"/>
    <w:p>
      <w:pPr>
        <w:pStyle w:val="Standard2"/>
      </w:pPr>
      <w:r>
        <w:rPr/>
        <w:t xml:space="preserve">AS/NZS 60335.2.89</w:t>
      </w:r>
      <w:r>
        <w:tab/>
      </w:r>
      <w:r>
        <w:rPr/>
        <w:t xml:space="preserve">2020</w:t>
      </w:r>
      <w:r>
        <w:tab/>
      </w:r>
      <w:r>
        <w:rPr/>
        <w:t xml:space="preserve">Particular requirements for commercial refrigerating appliances and ice-makers with an incorporated or remote refrigerant unit or motor-compressor</w:t>
      </w:r>
    </w:p>
    <w:bookmarkEnd w:id="579"/>
    <w:bookmarkStart w:name="f-10700-10_60529_000-000_2004" w:id="580"/>
    <w:p>
      <w:pPr>
        <w:pStyle w:val="Standard1"/>
      </w:pPr>
      <w:r>
        <w:rPr/>
        <w:t xml:space="preserve">AS 60529</w:t>
      </w:r>
      <w:r>
        <w:tab/>
      </w:r>
      <w:r>
        <w:rPr/>
        <w:t xml:space="preserve">2025</w:t>
      </w:r>
      <w:r>
        <w:tab/>
      </w:r>
      <w:r>
        <w:rPr/>
        <w:t xml:space="preserve">Degrees of protection provided by enclosures (IP Code) (IEC 60529:1989 (ED. 2.2) MOD)</w:t>
      </w:r>
    </w:p>
    <w:bookmarkEnd w:id="580"/>
    <w:bookmarkStart w:name="f-10700-20_NCC_J6D09_00000_2022" w:id="581"/>
    <w:p>
      <w:pPr>
        <w:pStyle w:val="Standard1"/>
      </w:pPr>
      <w:r>
        <w:rPr/>
        <w:t xml:space="preserve">BCA J6D9</w:t>
      </w:r>
      <w:r>
        <w:tab/>
      </w:r>
      <w:r>
        <w:rPr/>
        <w:t xml:space="preserve">2025</w:t>
      </w:r>
      <w:r>
        <w:tab/>
      </w:r>
      <w:r>
        <w:rPr/>
        <w:t xml:space="preserve">Energy efficiency - Air-conditioning and ventilation - Pipework insulation</w:t>
      </w:r>
    </w:p>
    <w:bookmarkEnd w:id="581"/>
    <w:bookmarkStart w:name="f-10700-25_AIRAH_DA012_00000_2020" w:id="582"/>
    <w:p>
      <w:pPr>
        <w:pStyle w:val="Standard1"/>
      </w:pPr>
      <w:r>
        <w:rPr/>
        <w:t xml:space="preserve">AIRAH DA12</w:t>
      </w:r>
      <w:r>
        <w:tab/>
      </w:r>
      <w:r>
        <w:rPr/>
        <w:t xml:space="preserve">2020</w:t>
      </w:r>
      <w:r>
        <w:tab/>
      </w:r>
      <w:r>
        <w:rPr/>
        <w:t xml:space="preserve">Energy efficiency in cold rooms</w:t>
      </w:r>
    </w:p>
    <w:bookmarkEnd w:id="582"/>
    <w:bookmarkStart w:name="f-10700-25_AIRAH_000000_00000" w:id="583"/>
    <w:p>
      <w:pPr>
        <w:pStyle w:val="Standard1"/>
      </w:pPr>
      <w:r>
        <w:rPr/>
        <w:t xml:space="preserve">AIRAH RHCop</w:t>
      </w:r>
      <w:r>
        <w:tab/>
      </w:r>
      <w:r>
        <w:tab/>
      </w:r>
      <w:r>
        <w:rPr/>
        <w:t xml:space="preserve">Australia and New Zealand Refrigerant Handling Code of Practice</w:t>
      </w:r>
    </w:p>
    <w:bookmarkEnd w:id="583"/>
    <w:bookmarkStart w:name="f-10700-25_AIRAH_000010_00000_2007" w:id="584"/>
    <w:p>
      <w:pPr>
        <w:pStyle w:val="Standard2"/>
      </w:pPr>
      <w:r>
        <w:rPr/>
        <w:t xml:space="preserve">AIRAH RHCoP P1</w:t>
      </w:r>
      <w:r>
        <w:tab/>
      </w:r>
      <w:r>
        <w:rPr/>
        <w:t xml:space="preserve">2025</w:t>
      </w:r>
      <w:r>
        <w:tab/>
      </w:r>
      <w:r>
        <w:rPr/>
        <w:t xml:space="preserve">Self-contained low charge systems</w:t>
      </w:r>
    </w:p>
    <w:bookmarkEnd w:id="584"/>
    <w:bookmarkStart w:name="f-10700-25_AIRAH_000020_00000_2007" w:id="585"/>
    <w:p>
      <w:pPr>
        <w:pStyle w:val="Standard2"/>
      </w:pPr>
      <w:r>
        <w:rPr/>
        <w:t xml:space="preserve">AIRAH RHCoP P2</w:t>
      </w:r>
      <w:r>
        <w:tab/>
      </w:r>
      <w:r>
        <w:rPr/>
        <w:t xml:space="preserve">2025</w:t>
      </w:r>
      <w:r>
        <w:tab/>
      </w:r>
      <w:r>
        <w:rPr/>
        <w:t xml:space="preserve">Systems other than self-contained low charge systems</w:t>
      </w:r>
    </w:p>
    <w:bookmarkEnd w:id="585"/>
    <w:bookmarkStart w:name="f-10700-25_CM_403390_00000_2023" w:id="586"/>
    <w:p>
      <w:pPr>
        <w:pStyle w:val="Standard1"/>
      </w:pPr>
      <w:r>
        <w:rPr/>
        <w:t xml:space="preserve">CM40339</w:t>
      </w:r>
      <w:r>
        <w:tab/>
      </w:r>
      <w:r>
        <w:rPr/>
        <w:t xml:space="preserve">2026</w:t>
      </w:r>
      <w:r>
        <w:tab/>
      </w:r>
      <w:r>
        <w:rPr/>
        <w:t xml:space="preserve">ASKIN XFLAM Internal Walls &amp; Ceiling Panel</w:t>
      </w:r>
    </w:p>
    <w:bookmarkEnd w:id="586"/>
    <w:bookmarkStart w:name="f-10700-25_IPCA_CoP_0043_00000_2017" w:id="587"/>
    <w:p>
      <w:pPr>
        <w:pStyle w:val="Standard1"/>
      </w:pPr>
      <w:r>
        <w:rPr/>
        <w:t xml:space="preserve">IPCA CoP 004.3</w:t>
      </w:r>
      <w:r>
        <w:tab/>
      </w:r>
      <w:r>
        <w:rPr/>
        <w:t xml:space="preserve">2017</w:t>
      </w:r>
      <w:r>
        <w:tab/>
      </w:r>
      <w:r>
        <w:rPr/>
        <w:t xml:space="preserve">Insulated Panel Council Australasia (IPCA) Code of Practice</w:t>
      </w:r>
    </w:p>
    <w:bookmarkEnd w:id="587"/>
    <w:bookmarkStart w:name="f-10700-50_AHRI_00450_000000_2007" w:id="588"/>
    <w:p>
      <w:pPr>
        <w:pStyle w:val="Standard1"/>
      </w:pPr>
      <w:r>
        <w:rPr/>
        <w:t xml:space="preserve">AHRI 450</w:t>
      </w:r>
      <w:r>
        <w:tab/>
      </w:r>
      <w:r>
        <w:rPr/>
        <w:t xml:space="preserve">2007</w:t>
      </w:r>
      <w:r>
        <w:tab/>
      </w:r>
      <w:r>
        <w:rPr/>
        <w:t xml:space="preserve">Performance rating of water-cooled refrigerant condensers, remote type</w:t>
      </w:r>
    </w:p>
    <w:bookmarkEnd w:id="588"/>
    <w:bookmarkStart w:name="f-10700-50_FM_04471_000000_2010" w:id="589"/>
    <w:p>
      <w:pPr>
        <w:pStyle w:val="Standard1"/>
      </w:pPr>
      <w:r>
        <w:rPr/>
        <w:t xml:space="preserve">FM 4471</w:t>
      </w:r>
      <w:r>
        <w:tab/>
      </w:r>
      <w:r>
        <w:rPr/>
        <w:t xml:space="preserve">2010</w:t>
      </w:r>
      <w:r>
        <w:tab/>
      </w:r>
      <w:r>
        <w:rPr/>
        <w:t xml:space="preserve">Approval standard for Class 1 panel roofs</w:t>
      </w:r>
    </w:p>
    <w:bookmarkEnd w:id="589"/>
    <w:bookmarkStart w:name="f-10700-50_FM_04880_000000_2017" w:id="590"/>
    <w:p>
      <w:pPr>
        <w:pStyle w:val="Standard1"/>
      </w:pPr>
      <w:r>
        <w:rPr/>
        <w:t xml:space="preserve">FM 4880</w:t>
      </w:r>
      <w:r>
        <w:tab/>
      </w:r>
      <w:r>
        <w:rPr/>
        <w:t xml:space="preserve">2017</w:t>
      </w:r>
      <w:r>
        <w:tab/>
      </w:r>
      <w:r>
        <w:rPr/>
        <w:t xml:space="preserve">Approval standard for Evaluating the Fire Performance of Building Panel Assemblies and Interior Finish Materials</w:t>
      </w:r>
    </w:p>
    <w:bookmarkEnd w:id="590"/>
    <w:bookmarkStart w:name="f-10700-50_FM_04881_000000_2017" w:id="591"/>
    <w:p>
      <w:pPr>
        <w:pStyle w:val="Standard1"/>
      </w:pPr>
      <w:r>
        <w:rPr/>
        <w:t xml:space="preserve">FM 4881</w:t>
      </w:r>
      <w:r>
        <w:tab/>
      </w:r>
      <w:r>
        <w:rPr/>
        <w:t xml:space="preserve">2016</w:t>
      </w:r>
      <w:r>
        <w:tab/>
      </w:r>
      <w:r>
        <w:rPr/>
        <w:t xml:space="preserve">Approval standard for Class 1 exterior wall systems</w:t>
      </w:r>
    </w:p>
    <w:bookmarkEnd w:id="591"/>
    <w:bookmarkStart w:name="f-10700-50_FM_04882_000000_2021" w:id="592"/>
    <w:p>
      <w:pPr>
        <w:pStyle w:val="Standard1"/>
      </w:pPr>
      <w:r>
        <w:rPr/>
        <w:t xml:space="preserve">FM 4882</w:t>
      </w:r>
      <w:r>
        <w:tab/>
      </w:r>
      <w:r>
        <w:rPr/>
        <w:t xml:space="preserve">2021</w:t>
      </w:r>
      <w:r>
        <w:tab/>
      </w:r>
      <w:r>
        <w:rPr/>
        <w:t xml:space="preserve">Class 1 Interior wall and ceiling materials or systems for smoke sensitive occupancies</w:t>
      </w:r>
    </w:p>
    <w:bookmarkEnd w:id="592"/>
    <w:bookmarkStart w:name="f-10700-60_EN_00328_000000_2014" w:id="593"/>
    <w:p>
      <w:pPr>
        <w:pStyle w:val="Standard1"/>
      </w:pPr>
      <w:r>
        <w:rPr/>
        <w:t xml:space="preserve">EN 328</w:t>
      </w:r>
      <w:r>
        <w:tab/>
      </w:r>
      <w:r>
        <w:rPr/>
        <w:t xml:space="preserve">2014</w:t>
      </w:r>
      <w:r>
        <w:tab/>
      </w:r>
      <w:r>
        <w:rPr/>
        <w:t xml:space="preserve">Heat exchangers - Forced convection unit air coolers for refrigeration - Test procedures for establishing the performance</w:t>
      </w:r>
    </w:p>
    <w:bookmarkEnd w:id="593"/>
    <w:bookmarkStart w:name="f-10700-60_EN_12629_000000_2022" w:id="594"/>
    <w:p>
      <w:pPr>
        <w:pStyle w:val="Standard1"/>
      </w:pPr>
      <w:r>
        <w:rPr/>
        <w:t xml:space="preserve">EN ISO 12629</w:t>
      </w:r>
      <w:r>
        <w:tab/>
      </w:r>
      <w:r>
        <w:rPr/>
        <w:t xml:space="preserve">2022</w:t>
      </w:r>
      <w:r>
        <w:tab/>
      </w:r>
      <w:r>
        <w:rPr/>
        <w:t xml:space="preserve">Thermal insulating products for building equipment and industrial installations - Determination of water vapour transmission properties of preformed pipe insulation</w:t>
      </w:r>
    </w:p>
    <w:bookmarkEnd w:id="594"/>
    <w:bookmarkStart w:name="f-10700-60_EN_13215_000000_2016" w:id="595"/>
    <w:p>
      <w:pPr>
        <w:pStyle w:val="Standard1"/>
      </w:pPr>
      <w:r>
        <w:rPr/>
        <w:t xml:space="preserve">EN 13215</w:t>
      </w:r>
      <w:r>
        <w:tab/>
      </w:r>
      <w:r>
        <w:rPr/>
        <w:t xml:space="preserve">2016</w:t>
      </w:r>
      <w:r>
        <w:tab/>
      </w:r>
      <w:r>
        <w:rPr/>
        <w:t xml:space="preserve">Condensing units for refrigeration - Rating conditions, tolerances and presentation of manufacturer's performance data</w:t>
      </w:r>
    </w:p>
    <w:bookmarkEnd w:id="595"/>
    <w:p>
      <w:pPr>
        <w:pStyle w:val="Instructions"/>
      </w:pPr>
      <w:r>
        <w:rPr>
          <w:b/>
        </w:rPr>
        <w:t xml:space="preserve">The following documents are mentioned only in the </w:t>
      </w:r>
      <w:r>
        <w:rPr>
          <w:b/>
          <w:i/>
        </w:rPr>
        <w:t xml:space="preserve">Guidance</w:t>
      </w:r>
      <w:r>
        <w:rPr>
          <w:b/>
        </w:rPr>
        <w:t xml:space="preserve"> text:</w:t>
      </w:r>
    </w:p>
    <w:bookmarkStart w:name="f-10700-10_01668_000-000" w:id="596"/>
    <w:p>
      <w:pPr>
        <w:pStyle w:val="Standard1"/>
      </w:pPr>
      <w:r>
        <w:rPr/>
        <w:t xml:space="preserve">AS 1668</w:t>
      </w:r>
      <w:r>
        <w:tab/>
      </w:r>
      <w:r>
        <w:tab/>
      </w:r>
      <w:r>
        <w:rPr/>
        <w:t xml:space="preserve">The use of ventilation and air conditioning in buildings</w:t>
      </w:r>
    </w:p>
    <w:bookmarkEnd w:id="596"/>
    <w:bookmarkStart w:name="f-10700-10_01668_002-000_2024" w:id="597"/>
    <w:p>
      <w:pPr>
        <w:pStyle w:val="Standard2"/>
      </w:pPr>
      <w:r>
        <w:rPr/>
        <w:t xml:space="preserve">AS 1668.2</w:t>
      </w:r>
      <w:r>
        <w:tab/>
      </w:r>
      <w:r>
        <w:rPr/>
        <w:t xml:space="preserve">2024</w:t>
      </w:r>
      <w:r>
        <w:tab/>
      </w:r>
      <w:r>
        <w:rPr/>
        <w:t xml:space="preserve">Mechanical ventilation in buildings</w:t>
      </w:r>
    </w:p>
    <w:bookmarkEnd w:id="597"/>
    <w:bookmarkStart w:name="f-10700-10_01680_000-000" w:id="598"/>
    <w:p>
      <w:pPr>
        <w:pStyle w:val="Standard1"/>
      </w:pPr>
      <w:r>
        <w:rPr/>
        <w:t xml:space="preserve">AS/NZS 1680</w:t>
      </w:r>
      <w:r>
        <w:tab/>
      </w:r>
      <w:r>
        <w:tab/>
      </w:r>
      <w:r>
        <w:rPr/>
        <w:t xml:space="preserve">Interior and workplace lighting</w:t>
      </w:r>
    </w:p>
    <w:bookmarkEnd w:id="598"/>
    <w:bookmarkStart w:name="f-10700-10_01680_001-000_2006" w:id="599"/>
    <w:p>
      <w:pPr>
        <w:pStyle w:val="Standard2"/>
      </w:pPr>
      <w:r>
        <w:rPr/>
        <w:t xml:space="preserve">AS/NZS 1680.1</w:t>
      </w:r>
      <w:r>
        <w:tab/>
      </w:r>
      <w:r>
        <w:rPr/>
        <w:t xml:space="preserve">2006</w:t>
      </w:r>
      <w:r>
        <w:tab/>
      </w:r>
      <w:r>
        <w:rPr/>
        <w:t xml:space="preserve">General principles and recommendations</w:t>
      </w:r>
    </w:p>
    <w:bookmarkEnd w:id="599"/>
    <w:bookmarkStart w:name="f-10700-10_01680_002-004_2017" w:id="600"/>
    <w:p>
      <w:pPr>
        <w:pStyle w:val="Standard2"/>
      </w:pPr>
      <w:r>
        <w:rPr/>
        <w:t xml:space="preserve">AS/NZS 1680.2.4</w:t>
      </w:r>
      <w:r>
        <w:tab/>
      </w:r>
      <w:r>
        <w:rPr/>
        <w:t xml:space="preserve">2017</w:t>
      </w:r>
      <w:r>
        <w:tab/>
      </w:r>
      <w:r>
        <w:rPr/>
        <w:t xml:space="preserve">Industrial tasks and processes</w:t>
      </w:r>
    </w:p>
    <w:bookmarkEnd w:id="600"/>
    <w:bookmarkStart w:name="f-10700-=10_02293_000-000" w:id="601"/>
    <w:p>
      <w:pPr>
        <w:pStyle w:val="Standard1"/>
      </w:pPr>
      <w:r>
        <w:rPr/>
        <w:t xml:space="preserve">AS/NZS 2293</w:t>
      </w:r>
      <w:r>
        <w:tab/>
      </w:r>
      <w:r>
        <w:tab/>
      </w:r>
      <w:r>
        <w:rPr/>
        <w:t xml:space="preserve">Emergency lighting and exit signs for buildings</w:t>
      </w:r>
    </w:p>
    <w:bookmarkEnd w:id="601"/>
    <w:bookmarkStart w:name="f-10700-10_02293_002-000_2019" w:id="602"/>
    <w:p>
      <w:pPr>
        <w:pStyle w:val="Standard2"/>
      </w:pPr>
      <w:r>
        <w:rPr/>
        <w:t xml:space="preserve">AS/NZS 2293.2</w:t>
      </w:r>
      <w:r>
        <w:tab/>
      </w:r>
      <w:r>
        <w:rPr/>
        <w:t xml:space="preserve">2019</w:t>
      </w:r>
      <w:r>
        <w:tab/>
      </w:r>
      <w:r>
        <w:rPr/>
        <w:t xml:space="preserve">Routine service and maintenance</w:t>
      </w:r>
    </w:p>
    <w:bookmarkEnd w:id="602"/>
    <w:bookmarkStart w:name="f-10700-10_02293_003-000_2018" w:id="603"/>
    <w:p>
      <w:pPr>
        <w:pStyle w:val="Standard2"/>
      </w:pPr>
      <w:r>
        <w:rPr/>
        <w:t xml:space="preserve">AS/NZS 2293.3</w:t>
      </w:r>
      <w:r>
        <w:tab/>
      </w:r>
      <w:r>
        <w:rPr/>
        <w:t xml:space="preserve">2018</w:t>
      </w:r>
      <w:r>
        <w:tab/>
      </w:r>
      <w:r>
        <w:rPr/>
        <w:t xml:space="preserve">Emergency luminaires and exit signs</w:t>
      </w:r>
    </w:p>
    <w:bookmarkEnd w:id="603"/>
    <w:bookmarkStart w:name="f-10700-10_03959_000-000_2018" w:id="604"/>
    <w:p>
      <w:pPr>
        <w:pStyle w:val="Standard1"/>
      </w:pPr>
      <w:r>
        <w:rPr/>
        <w:t xml:space="preserve">AS 3959</w:t>
      </w:r>
      <w:r>
        <w:tab/>
      </w:r>
      <w:r>
        <w:rPr/>
        <w:t xml:space="preserve">2018</w:t>
      </w:r>
      <w:r>
        <w:tab/>
      </w:r>
      <w:r>
        <w:rPr/>
        <w:t xml:space="preserve">Construction of buildings in bushfire-prone areas</w:t>
      </w:r>
    </w:p>
    <w:bookmarkEnd w:id="604"/>
    <w:bookmarkStart w:name="f-10700-10_09705_000-000_2003" w:id="605"/>
    <w:p>
      <w:pPr>
        <w:pStyle w:val="Standard1"/>
      </w:pPr>
      <w:r>
        <w:rPr/>
        <w:t xml:space="preserve">AS ISO 9705</w:t>
      </w:r>
      <w:r>
        <w:tab/>
      </w:r>
      <w:r>
        <w:rPr/>
        <w:t xml:space="preserve">2003</w:t>
      </w:r>
      <w:r>
        <w:tab/>
      </w:r>
      <w:r>
        <w:rPr/>
        <w:t xml:space="preserve">Fire tests - Full-scale room test for surface products</w:t>
      </w:r>
    </w:p>
    <w:bookmarkEnd w:id="605"/>
    <w:bookmarkStart w:name="f-10700-10_60529_000-000_2025" w:id="606"/>
    <w:p>
      <w:pPr>
        <w:pStyle w:val="Standard1"/>
      </w:pPr>
      <w:r>
        <w:rPr/>
        <w:t xml:space="preserve">AS 60529</w:t>
      </w:r>
      <w:r>
        <w:tab/>
      </w:r>
      <w:r>
        <w:rPr/>
        <w:t xml:space="preserve">2004</w:t>
      </w:r>
      <w:r>
        <w:tab/>
      </w:r>
      <w:r>
        <w:rPr/>
        <w:t xml:space="preserve">Degrees of protection provided by enclosures (IP Code)</w:t>
      </w:r>
    </w:p>
    <w:bookmarkEnd w:id="606"/>
    <w:bookmarkStart w:name="f-10700-20_NCC_C2D11_00000_2022" w:id="607"/>
    <w:p>
      <w:pPr>
        <w:pStyle w:val="Standard1"/>
      </w:pPr>
      <w:r>
        <w:rPr/>
        <w:t xml:space="preserve">BCA C2D11</w:t>
      </w:r>
      <w:r>
        <w:tab/>
      </w:r>
      <w:r>
        <w:rPr/>
        <w:t xml:space="preserve">2025</w:t>
      </w:r>
      <w:r>
        <w:tab/>
      </w:r>
      <w:r>
        <w:rPr/>
        <w:t xml:space="preserve">Fire resistance - Fire resistance and stability - Fire hazard properties</w:t>
      </w:r>
    </w:p>
    <w:bookmarkEnd w:id="607"/>
    <w:bookmarkStart w:name="f-10700-20_NCC_Section_J_00000_2022" w:id="608"/>
    <w:p>
      <w:pPr>
        <w:pStyle w:val="Standard1"/>
      </w:pPr>
      <w:r>
        <w:rPr/>
        <w:t xml:space="preserve">BCA Section J</w:t>
      </w:r>
      <w:r>
        <w:tab/>
      </w:r>
      <w:r>
        <w:rPr/>
        <w:t xml:space="preserve">2025</w:t>
      </w:r>
      <w:r>
        <w:tab/>
      </w:r>
      <w:r>
        <w:rPr/>
        <w:t xml:space="preserve">Energy efficiency</w:t>
      </w:r>
    </w:p>
    <w:bookmarkEnd w:id="608"/>
    <w:bookmarkStart w:name="f-10700-21_NCC_000000_00000_2025" w:id="609"/>
    <w:p>
      <w:pPr>
        <w:pStyle w:val="Standard1"/>
      </w:pPr>
      <w:r>
        <w:rPr/>
        <w:t xml:space="preserve">NCC</w:t>
      </w:r>
      <w:r>
        <w:tab/>
      </w:r>
      <w:r>
        <w:rPr/>
        <w:t xml:space="preserve">2022</w:t>
      </w:r>
      <w:r>
        <w:tab/>
      </w:r>
      <w:r>
        <w:rPr/>
        <w:t xml:space="preserve">National Construction Code</w:t>
      </w:r>
    </w:p>
    <w:bookmarkEnd w:id="609"/>
    <w:bookmarkStart w:name="f-10700-21_NCC_000000_00000_2022" w:id="610"/>
    <w:p>
      <w:pPr>
        <w:pStyle w:val="Standard1"/>
      </w:pPr>
      <w:r>
        <w:rPr/>
        <w:t xml:space="preserve">NCC</w:t>
      </w:r>
      <w:r>
        <w:tab/>
      </w:r>
      <w:r>
        <w:rPr/>
        <w:t xml:space="preserve">2025</w:t>
      </w:r>
      <w:r>
        <w:tab/>
      </w:r>
      <w:r>
        <w:rPr/>
        <w:t xml:space="preserve">National Construction Code</w:t>
      </w:r>
    </w:p>
    <w:bookmarkEnd w:id="610"/>
    <w:bookmarkStart w:name="f-10700-25_GBCA_Buildings_00000_2021" w:id="611"/>
    <w:p>
      <w:pPr>
        <w:pStyle w:val="Standard1"/>
      </w:pPr>
      <w:r>
        <w:rPr/>
        <w:t xml:space="preserve">GBCA Buildings</w:t>
      </w:r>
      <w:r>
        <w:tab/>
      </w:r>
      <w:r>
        <w:rPr/>
        <w:t xml:space="preserve">2025</w:t>
      </w:r>
      <w:r>
        <w:tab/>
      </w:r>
      <w:r>
        <w:rPr/>
        <w:t xml:space="preserve">Green Star Buildings</w:t>
      </w:r>
    </w:p>
    <w:bookmarkEnd w:id="611"/>
    <w:bookmarkStart w:name="f-10700-25_NATSPEC_DES_003_00000" w:id="612"/>
    <w:p>
      <w:pPr>
        <w:pStyle w:val="Standard1"/>
      </w:pPr>
      <w:r>
        <w:rPr/>
        <w:t xml:space="preserve">NATSPEC DES 003</w:t>
      </w:r>
      <w:r>
        <w:tab/>
      </w:r>
      <w:r>
        <w:tab/>
      </w:r>
      <w:r>
        <w:rPr/>
        <w:t xml:space="preserve">Fire hazard properties of insulation and pliable membranes</w:t>
      </w:r>
    </w:p>
    <w:bookmarkEnd w:id="612"/>
    <w:bookmarkStart w:name="f-10700-25_NATSPEC_DES_020_00000" w:id="613"/>
    <w:p>
      <w:pPr>
        <w:pStyle w:val="Standard1"/>
      </w:pPr>
      <w:r>
        <w:rPr/>
        <w:t xml:space="preserve">NATSPEC DES 020</w:t>
      </w:r>
      <w:r>
        <w:tab/>
      </w:r>
      <w:r>
        <w:tab/>
      </w:r>
      <w:r>
        <w:rPr/>
        <w:t xml:space="preserve">Fire behaviour of building materials and assemblies</w:t>
      </w:r>
    </w:p>
    <w:bookmarkEnd w:id="613"/>
    <w:bookmarkStart w:name="f-10700-25_NATSPEC_DES_022_00000" w:id="614"/>
    <w:p>
      <w:pPr>
        <w:pStyle w:val="Standard1"/>
      </w:pPr>
      <w:r>
        <w:rPr/>
        <w:t xml:space="preserve">NATSPEC DES 022</w:t>
      </w:r>
      <w:r>
        <w:tab/>
      </w:r>
      <w:r>
        <w:tab/>
      </w:r>
      <w:r>
        <w:rPr/>
        <w:t xml:space="preserve">Microbial control</w:t>
      </w:r>
    </w:p>
    <w:bookmarkEnd w:id="614"/>
    <w:bookmarkStart w:name="f-10700-25_NATSPEC_GEN_006_00000" w:id="615"/>
    <w:p>
      <w:pPr>
        <w:pStyle w:val="Standard1"/>
      </w:pPr>
      <w:r>
        <w:rPr/>
        <w:t xml:space="preserve">NATSPEC GEN 006</w:t>
      </w:r>
      <w:r>
        <w:tab/>
      </w:r>
      <w:r>
        <w:tab/>
      </w:r>
      <w:r>
        <w:rPr/>
        <w:t xml:space="preserve">Product specifying and substitution</w:t>
      </w:r>
    </w:p>
    <w:bookmarkEnd w:id="615"/>
    <w:bookmarkStart w:name="f-10700-25_NATSPEC_GEN_010_00000" w:id="616"/>
    <w:p>
      <w:pPr>
        <w:pStyle w:val="Standard1"/>
      </w:pPr>
      <w:r>
        <w:rPr/>
        <w:t xml:space="preserve">NATSPEC GEN 010</w:t>
      </w:r>
      <w:r>
        <w:tab/>
      </w:r>
      <w:r>
        <w:tab/>
      </w:r>
      <w:r>
        <w:rPr/>
        <w:t xml:space="preserve">Mechanical commissioning strategies</w:t>
      </w:r>
    </w:p>
    <w:bookmarkEnd w:id="616"/>
    <w:bookmarkStart w:name="f-10700-25_NATSPEC_GEN_020_00000" w:id="617"/>
    <w:p>
      <w:pPr>
        <w:pStyle w:val="Standard1"/>
      </w:pPr>
      <w:r>
        <w:rPr/>
        <w:t xml:space="preserve">NATSPEC GEN 020</w:t>
      </w:r>
      <w:r>
        <w:tab/>
      </w:r>
      <w:r>
        <w:tab/>
      </w:r>
      <w:r>
        <w:rPr/>
        <w:t xml:space="preserve">Building commissioning</w:t>
      </w:r>
    </w:p>
    <w:bookmarkEnd w:id="617"/>
    <w:bookmarkStart w:name="f-10700-25_NATSPEC_GEN_024_00000" w:id="618"/>
    <w:p>
      <w:pPr>
        <w:pStyle w:val="Standard1"/>
      </w:pPr>
      <w:r>
        <w:rPr/>
        <w:t xml:space="preserve">NATSPEC GEN 024</w:t>
      </w:r>
      <w:r>
        <w:tab/>
      </w:r>
      <w:r>
        <w:tab/>
      </w:r>
      <w:r>
        <w:rPr/>
        <w:t xml:space="preserve">Using NATSPEC selections schedules</w:t>
      </w:r>
    </w:p>
    <w:bookmarkEnd w:id="618"/>
    <w:bookmarkStart w:name="f-10700-25_NATSPEC_PRO_007_00000" w:id="619"/>
    <w:p>
      <w:pPr>
        <w:pStyle w:val="Standard1"/>
      </w:pPr>
      <w:r>
        <w:rPr/>
        <w:t xml:space="preserve">NATSPEC PRO 007</w:t>
      </w:r>
      <w:r>
        <w:tab/>
      </w:r>
      <w:r>
        <w:tab/>
      </w:r>
      <w:r>
        <w:rPr/>
        <w:t xml:space="preserve">Refrigerant options</w:t>
      </w:r>
    </w:p>
    <w:bookmarkEnd w:id="619"/>
    <w:bookmarkStart w:name="f-10700-25_NATSPEC_TR_01_00000" w:id="620"/>
    <w:p>
      <w:pPr>
        <w:pStyle w:val="Standard1"/>
      </w:pPr>
      <w:r>
        <w:rPr/>
        <w:t xml:space="preserve">NATSPEC TR 01</w:t>
      </w:r>
      <w:r>
        <w:tab/>
      </w:r>
      <w:r>
        <w:tab/>
      </w:r>
      <w:r>
        <w:rPr/>
        <w:t xml:space="preserve">Specifying ESD</w:t>
      </w:r>
    </w:p>
    <w:bookmarkEnd w:id="620"/>
    <w:bookmarkStart w:name="f-10700-25_NATSPEC_TR_03_00000" w:id="621"/>
    <w:p>
      <w:pPr>
        <w:pStyle w:val="Standard1"/>
      </w:pPr>
      <w:r>
        <w:rPr/>
        <w:t xml:space="preserve">NATSPEC TR 03</w:t>
      </w:r>
      <w:r>
        <w:tab/>
      </w:r>
      <w:r>
        <w:tab/>
      </w:r>
      <w:r>
        <w:rPr/>
        <w:t xml:space="preserve">Specifying design and construct for mechanical services</w:t>
      </w:r>
    </w:p>
    <w:bookmarkEnd w:id="621"/>
    <w:bookmarkStart w:name="f-10700-50_ANSI_ASHRAE_00135_000000_2020" w:id="622"/>
    <w:p>
      <w:pPr>
        <w:pStyle w:val="Standard1"/>
      </w:pPr>
      <w:r>
        <w:rPr/>
        <w:t xml:space="preserve">ANSI/ASHRAE 135</w:t>
      </w:r>
      <w:r>
        <w:tab/>
      </w:r>
      <w:r>
        <w:rPr/>
        <w:t xml:space="preserve">2024</w:t>
      </w:r>
      <w:r>
        <w:tab/>
      </w:r>
      <w:r>
        <w:rPr/>
        <w:t xml:space="preserve">BACnet: A data communication protocol for building automation and control networks</w:t>
      </w:r>
    </w:p>
    <w:bookmarkEnd w:id="622"/>
    <w:bookmarkStart w:name="f-10700-60_ISO_05149_000000" w:id="623"/>
    <w:p>
      <w:pPr>
        <w:pStyle w:val="Standard1"/>
      </w:pPr>
      <w:r>
        <w:rPr/>
        <w:t xml:space="preserve">ISO 5149</w:t>
      </w:r>
      <w:r>
        <w:tab/>
      </w:r>
      <w:r>
        <w:tab/>
      </w:r>
      <w:r>
        <w:rPr/>
        <w:t xml:space="preserve">Refrigeration systems and heat pumps - Safety and environmental requirements</w:t>
      </w:r>
    </w:p>
    <w:bookmarkEnd w:id="623"/>
    <w:bookmarkStart w:name="f-10700-60_ISO_09001_000000_2015" w:id="624"/>
    <w:p>
      <w:pPr>
        <w:pStyle w:val="Standard1"/>
      </w:pPr>
      <w:r>
        <w:rPr/>
        <w:t xml:space="preserve">ISO 9001</w:t>
      </w:r>
      <w:r>
        <w:tab/>
      </w:r>
      <w:r>
        <w:rPr/>
        <w:t xml:space="preserve">2015</w:t>
      </w:r>
      <w:r>
        <w:tab/>
      </w:r>
      <w:r>
        <w:rPr/>
        <w:t xml:space="preserve">Quality management systems - Requirements</w:t>
      </w:r>
    </w:p>
    <w:bookmarkEnd w:id="624"/>
    <w:bookmarkStart w:name="f-10700-60_ISO_14001_000000_2015" w:id="625"/>
    <w:p>
      <w:pPr>
        <w:pStyle w:val="Standard1"/>
      </w:pPr>
      <w:r>
        <w:rPr/>
        <w:t xml:space="preserve">ISO 14001</w:t>
      </w:r>
      <w:r>
        <w:tab/>
      </w:r>
      <w:r>
        <w:rPr/>
        <w:t xml:space="preserve">2015</w:t>
      </w:r>
      <w:r>
        <w:tab/>
      </w:r>
      <w:r>
        <w:rPr/>
        <w:t xml:space="preserve">Environmental management systems - Requirements with guidance for use</w:t>
      </w:r>
    </w:p>
    <w:bookmarkEnd w:id="625"/>
    <w:bookmarkEnd w:id="536"/>
    <w:sectPr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oel="http://schemas.microsoft.com/office/2019/extlst" xmlns:r="http://schemas.openxmlformats.org/officeDocument/2006/relationships" xmlns:v="urn:schemas-microsoft-com:vml"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sdtdh="http://schemas.microsoft.com/office/word/2020/wordml/sdtdatahash"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w:rsidR="003F10B8" w:rsidRPr="00420ABA" w:rsidSect="00E57BAC">
      <w:headerReference w:type="even" r:id="rId7"/>
      <w:headerReference w:type="default" r:id="rId8"/>
      <w:footerReference w:type="even" r:id="rId9"/>
      <w:footerReference w:type="default" r:id="rId10"/>
      <w:headerReference w:type="first" r:id="rId11"/>
      <w:footerReference w:type="first" r:id="rId12"/>
      <w:footnotePr>
        <w:numFmt w:val="lowerRoman"/>
      </w:footnotePr>
      <w:endnotePr>
        <w:numFmt w:val="decimal"/>
      </w:endnotePr>
      <w:pgSz w:w="11907" w:h="16840" w:code="9"/>
      <w:pgMar w:top="851" w:right="1418" w:bottom="851" w:left="1418" w:header="720" w:footer="720" w:gutter="0"/>
      <w:cols w:space="720"/>
    </w:sectPr>
    <w:bookmarkEnd w:id="535"/>
  </w:body>
</w:document>
</file>

<file path=word/endnotes.xml><?xml version="1.0" encoding="utf-8"?>
<w:endnotes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oel="http://schemas.microsoft.com/office/2019/extlst"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sdtdh="http://schemas.microsoft.com/office/word/2020/wordml/sdtdatahash"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16cid w16 w16cex w16sdtdh wp14">
  <w:endnote w:type="separator" w:id="-1">
    <w:p w14:paraId="1D2386F0" w14:textId="77777777" w:rsidR="00A6597C" w:rsidRDefault="00A6597C">
      <w:r>
        <w:separator/>
      </w:r>
    </w:p>
  </w:endnote>
  <w:endnote w:type="continuationSeparator" w:id="0">
    <w:p w14:paraId="4E998D1D" w14:textId="77777777" w:rsidR="00A6597C" w:rsidRDefault="00A659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oel="http://schemas.microsoft.com/office/2019/extlst"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sdtdh="http://schemas.microsoft.com/office/word/2020/wordml/sdtdatahash"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16cid w16 w16cex w16sdtdh wp14">
  <w:p w14:paraId="0E77ECC0" w14:textId="77777777" w:rsidR="006567D2" w:rsidRDefault="006567D2">
    <w:pPr>
      <w:pStyle w:val="Footer"/>
    </w:pPr>
  </w:p>
  <w:p w14:paraId="29C245F0" w14:textId="77777777" w:rsidR="006567D2" w:rsidRDefault="006567D2">
    <w:pPr>
      <w:pStyle w:val="Footer"/>
    </w:pPr>
    <w:r>
      <w:t>Date</w:t>
    </w:r>
    <w:r>
      <w:tab/>
    </w:r>
    <w:r>
      <w:fldChar w:fldCharType="begin"/>
    </w:r>
    <w:r>
      <w:instrText xml:space="preserve"> PAGE </w:instrText>
    </w:r>
    <w:r>
      <w:fldChar w:fldCharType="separate"/>
    </w:r>
    <w:r>
      <w:rPr>
        <w:noProof/>
      </w:rPr>
      <w:t>2</w:t>
    </w:r>
    <w:r>
      <w:fldChar w:fldCharType="end"/>
    </w:r>
    <w:r>
      <w:tab/>
      <w:t>NATSPEC</w:t>
    </w:r>
  </w:p>
</w:ftr>
</file>

<file path=word/footer2.xml><?xml version="1.0" encoding="utf-8"?>
<w:ftr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oel="http://schemas.microsoft.com/office/2019/extlst"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sdtdh="http://schemas.microsoft.com/office/word/2020/wordml/sdtdatahash"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16cid w16 w16cex w16sdtdh wp14">
  <w:p w14:paraId="68386707" w14:textId="77777777" w:rsidR="006567D2" w:rsidRDefault="006567D2">
    <w:pPr>
      <w:pStyle w:val="Footer"/>
    </w:pPr>
  </w:p>
  <w:p w14:paraId="56D572F3" w14:textId="77777777" w:rsidR="006567D2" w:rsidRDefault="00DA00B9">
    <w:pPr>
      <w:pStyle w:val="Footer"/>
    </w:pPr>
    <w:r>
      <w:t>© NATSPEC (</w:t>
    </w:r>
    <w:sdt>
      <w:sdtPr>
        <w:alias w:val="Subject"/>
        <w:tag w:val=""/>
        <w:id w:val="1291787495"/>
        <w:placeholder>
          <w:docPart w:val="51F9EEBBD2D0489D9B33E0E90B72CD55"/>
        </w:placeholder>
        <w:dataBinding w:prefixMappings="xmlns:ns0='http://purl.org/dc/elements/1.1/' xmlns:ns1='http://schemas.openxmlformats.org/package/2006/metadata/core-properties' " w:xpath="/ns1:coreProperties[1]/ns0:subject[1]" w:storeItemID="{6C3C8BC8-F283-45AE-878A-BAB7291924A1}"/>
        <w:text/>
      </w:sdtPr>
      <w:sdtContent>
        <w:r w:rsidR="00D7123E">
          <w:t>Word Template</w:t>
        </w:r>
      </w:sdtContent>
    </w:sdt>
    <w:r w:rsidR="006567D2">
      <w:t>)</w:t>
    </w:r>
    <w:r w:rsidR="006567D2">
      <w:tab/>
    </w:r>
    <w:r w:rsidR="006567D2">
      <w:fldChar w:fldCharType="begin"/>
    </w:r>
    <w:r w:rsidR="006567D2">
      <w:instrText xml:space="preserve"> PAGE </w:instrText>
    </w:r>
    <w:r w:rsidR="006567D2">
      <w:fldChar w:fldCharType="separate"/>
    </w:r>
    <w:r w:rsidR="00D7123E">
      <w:rPr>
        <w:noProof/>
      </w:rPr>
      <w:t>14</w:t>
    </w:r>
    <w:r w:rsidR="006567D2">
      <w:fldChar w:fldCharType="end"/>
    </w:r>
    <w:r w:rsidR="006567D2">
      <w:tab/>
    </w:r>
    <w:r w:rsidR="006567D2">
      <w:fldChar w:fldCharType="begin"/>
    </w:r>
    <w:r w:rsidR="006567D2">
      <w:instrText xml:space="preserve"> MACROBUTTON  ac_OnHelp "[Insert date]" </w:instrText>
    </w:r>
    <w:r w:rsidR="006567D2">
      <w:fldChar w:fldCharType="end"/>
    </w:r>
  </w:p>
  <w:p w14:paraId="55A7B456" w14:textId="77777777" w:rsidR="006567D2" w:rsidRDefault="006567D2">
    <w:pPr>
      <w:pStyle w:val="Footer"/>
    </w:pPr>
  </w:p>
</w:ftr>
</file>

<file path=word/footer3.xml><?xml version="1.0" encoding="utf-8"?>
<w:ftr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oel="http://schemas.microsoft.com/office/2019/extlst"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sdtdh="http://schemas.microsoft.com/office/word/2020/wordml/sdtdatahash"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16cid w16 w16cex w16sdtdh wp14">
  <w:p w14:paraId="0D406ECA" w14:textId="77777777" w:rsidR="00BB3C2D" w:rsidRDefault="00BB3C2D">
    <w:pPr>
      <w:pStyle w:val="Footer"/>
    </w:pPr>
  </w:p>
</w:ftr>
</file>

<file path=word/footnotes.xml><?xml version="1.0" encoding="utf-8"?>
<w:footnotes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oel="http://schemas.microsoft.com/office/2019/extlst"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sdtdh="http://schemas.microsoft.com/office/word/2020/wordml/sdtdatahash"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16cid w16 w16cex w16sdtdh wp14">
  <w:footnote w:type="separator" w:id="-1">
    <w:p w14:paraId="44DB2AEC" w14:textId="77777777" w:rsidR="00A6597C" w:rsidRDefault="00A6597C">
      <w:r>
        <w:separator/>
      </w:r>
    </w:p>
  </w:footnote>
  <w:footnote w:type="continuationSeparator" w:id="0">
    <w:p w14:paraId="58FAC1A8" w14:textId="77777777" w:rsidR="00A6597C" w:rsidRDefault="00A6597C">
      <w:r>
        <w:continuationSeparator/>
      </w:r>
    </w:p>
  </w:footnote>
</w:footnotes>
</file>

<file path=word/header1.xml><?xml version="1.0" encoding="utf-8"?>
<w:hdr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oel="http://schemas.microsoft.com/office/2019/extlst"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sdtdh="http://schemas.microsoft.com/office/word/2020/wordml/sdtdatahash"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16cid w16 w16cex w16sdtdh wp14">
  <w:p w14:paraId="398925BE" w14:textId="77777777" w:rsidR="00BB3C2D" w:rsidRDefault="00BB3C2D">
    <w:pPr>
      <w:pStyle w:val="Header"/>
    </w:pPr>
  </w:p>
</w:hdr>
</file>

<file path=word/header2.xml><?xml version="1.0" encoding="utf-8"?>
<w:hdr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oel="http://schemas.microsoft.com/office/2019/extlst"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sdtdh="http://schemas.microsoft.com/office/word/2020/wordml/sdtdatahash"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16cid w16 w16cex w16sdtdh wp14">
  <w:p w14:paraId="3723FA1C" w14:textId="0823E399" w:rsidR="006567D2" w:rsidRPr="00BB3C2D" w:rsidRDefault="00000000">
    <w:pPr>
      <w:pStyle w:val="Header"/>
    </w:pPr>
    <w:sdt>
      <w:sdtPr>
        <w:alias w:val="Category"/>
        <w:tag w:val=""/>
        <w:id w:val="1359240299"/>
        <w:placeholder>
          <w:docPart w:val="31BECDE4F6EA497FB26583C3D3546F63"/>
        </w:placeholder>
        <w:dataBinding w:prefixMappings="xmlns:ns0='http://purl.org/dc/elements/1.1/' xmlns:ns1='http://schemas.openxmlformats.org/package/2006/metadata/core-properties' " w:xpath="/ns1:coreProperties[1]/ns1:category[1]" w:storeItemID="{6C3C8BC8-F283-45AE-878A-BAB7291924A1}"/>
        <w:text/>
      </w:sdtPr>
      <w:sdtContent>
        <w:r w:rsidR="00EC2270">
          <w:t>04 Sites</w:t>
        </w:r>
      </w:sdtContent>
    </w:sdt>
    <w:r w:rsidR="006567D2">
      <w:tab/>
    </w:r>
    <w:r w:rsidR="007533D6" w:rsidRPr="00BB3C2D">
      <w:rPr>
        <w:noProof/>
      </w:rPr>
      <w:fldChar w:fldCharType="begin"/>
    </w:r>
    <w:r w:rsidR="007533D6" w:rsidRPr="00BB3C2D">
      <w:rPr>
        <w:noProof/>
      </w:rPr>
      <w:instrText xml:space="preserve"> STYLEREF  "Heading 1"</w:instrText>
    </w:r>
    <w:r w:rsidR="007533D6" w:rsidRPr="00BB3C2D">
      <w:rPr>
        <w:noProof/>
      </w:rPr>
      <w:fldChar w:fldCharType="separate"/>
    </w:r>
    <w:r w:rsidR="00BB3C2D">
      <w:rPr>
        <w:noProof/>
      </w:rPr>
      <w:t>0411 Waterproofing – external and tanking</w:t>
    </w:r>
    <w:r w:rsidR="007533D6" w:rsidRPr="00BB3C2D">
      <w:rPr>
        <w:noProof/>
      </w:rPr>
      <w:fldChar w:fldCharType="end"/>
    </w:r>
  </w:p>
  <w:p w14:paraId="7A3EC4FB" w14:textId="77777777" w:rsidR="006567D2" w:rsidRDefault="006567D2"/>
</w:hdr>
</file>

<file path=word/header3.xml><?xml version="1.0" encoding="utf-8"?>
<w:hdr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oel="http://schemas.microsoft.com/office/2019/extlst"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sdtdh="http://schemas.microsoft.com/office/word/2020/wordml/sdtdatahash"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16cid w16 w16cex w16sdtdh wp14">
  <w:p w14:paraId="2205B659" w14:textId="77777777" w:rsidR="00BB3C2D" w:rsidRDefault="00BB3C2D">
    <w:pPr>
      <w:pStyle w:val="Header"/>
    </w:pPr>
  </w:p>
</w:hdr>
</file>

<file path=word/numbering.xml><?xml version="1.0" encoding="utf-8"?>
<w:numbering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oel="http://schemas.microsoft.com/office/2019/extlst"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sdtdh="http://schemas.microsoft.com/office/word/2020/wordml/sdtdatahash"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16cid w16 w16cex w16sdtdh wp14">
  <w:abstractNum w:abstractNumId="0" w15:restartNumberingAfterBreak="0">
    <w:nsid w:val="FFFFFFFB"/>
    <w:multiLevelType w:val="multilevel"/>
    <w:tmpl w:val="98E03446"/>
    <w:lvl w:ilvl="0">
      <w:start w:val="1"/>
      <w:numFmt w:val="bullet"/>
      <w:pStyle w:val="NormalIndent3"/>
      <w:lvlText w:val="*"/>
      <w:lvlJc w:val="left"/>
      <w:pPr>
        <w:tabs>
          <w:tab w:val="num" w:pos="562"/>
        </w:tabs>
        <w:ind w:left="562" w:hanging="142"/>
      </w:pPr>
      <w:rPr>
        <w:rFonts w:ascii="Times New Roman" w:hAnsi="Times New Roman" w:cs="Times New Roman" w:hint="default"/>
        <w:color w:val="auto"/>
      </w:rPr>
    </w:lvl>
    <w:lvl w:ilvl="1">
      <w:start w:val="1"/>
      <w:numFmt w:val="decimal"/>
      <w:isLgl/>
      <w:suff w:val="nothing"/>
      <w:lvlText w:val="%1%2"/>
      <w:lvlJc w:val="left"/>
      <w:pPr>
        <w:ind w:left="-289" w:firstLine="0"/>
      </w:pPr>
      <w:rPr>
        <w:rFonts w:hint="default"/>
      </w:rPr>
    </w:lvl>
    <w:lvl w:ilvl="2">
      <w:start w:val="1"/>
      <w:numFmt w:val="decimal"/>
      <w:suff w:val="nothing"/>
      <w:lvlText w:val="%2.%3"/>
      <w:lvlJc w:val="left"/>
      <w:pPr>
        <w:ind w:left="-289" w:firstLine="0"/>
      </w:pPr>
      <w:rPr>
        <w:rFonts w:hint="default"/>
      </w:rPr>
    </w:lvl>
    <w:lvl w:ilvl="3">
      <w:start w:val="1"/>
      <w:numFmt w:val="none"/>
      <w:suff w:val="nothing"/>
      <w:lvlText w:val=""/>
      <w:lvlJc w:val="left"/>
      <w:pPr>
        <w:ind w:left="-289" w:firstLine="0"/>
      </w:pPr>
      <w:rPr>
        <w:rFonts w:hint="default"/>
      </w:rPr>
    </w:lvl>
    <w:lvl w:ilvl="4">
      <w:start w:val="1"/>
      <w:numFmt w:val="none"/>
      <w:lvlText w:val=""/>
      <w:lvlJc w:val="left"/>
      <w:pPr>
        <w:tabs>
          <w:tab w:val="num" w:pos="71"/>
        </w:tabs>
        <w:ind w:left="-289" w:firstLine="0"/>
      </w:pPr>
      <w:rPr>
        <w:rFonts w:hint="default"/>
      </w:rPr>
    </w:lvl>
    <w:lvl w:ilvl="5">
      <w:start w:val="1"/>
      <w:numFmt w:val="none"/>
      <w:lvlText w:val=""/>
      <w:lvlJc w:val="left"/>
      <w:pPr>
        <w:tabs>
          <w:tab w:val="num" w:pos="71"/>
        </w:tabs>
        <w:ind w:left="-289" w:firstLine="0"/>
      </w:pPr>
      <w:rPr>
        <w:rFonts w:hint="default"/>
      </w:rPr>
    </w:lvl>
    <w:lvl w:ilvl="6">
      <w:start w:val="1"/>
      <w:numFmt w:val="none"/>
      <w:lvlText w:val=""/>
      <w:lvlJc w:val="left"/>
      <w:pPr>
        <w:tabs>
          <w:tab w:val="num" w:pos="71"/>
        </w:tabs>
        <w:ind w:left="-289" w:firstLine="0"/>
      </w:pPr>
      <w:rPr>
        <w:rFonts w:hint="default"/>
      </w:rPr>
    </w:lvl>
    <w:lvl w:ilvl="7">
      <w:start w:val="1"/>
      <w:numFmt w:val="none"/>
      <w:lvlText w:val=""/>
      <w:lvlJc w:val="left"/>
      <w:pPr>
        <w:tabs>
          <w:tab w:val="num" w:pos="71"/>
        </w:tabs>
        <w:ind w:left="-289" w:firstLine="0"/>
      </w:pPr>
      <w:rPr>
        <w:rFonts w:hint="default"/>
      </w:rPr>
    </w:lvl>
    <w:lvl w:ilvl="8">
      <w:start w:val="1"/>
      <w:numFmt w:val="none"/>
      <w:lvlText w:val=""/>
      <w:lvlJc w:val="left"/>
      <w:pPr>
        <w:tabs>
          <w:tab w:val="num" w:pos="71"/>
        </w:tabs>
        <w:ind w:left="-289" w:firstLine="0"/>
      </w:pPr>
      <w:rPr>
        <w:rFonts w:hint="default"/>
      </w:rPr>
    </w:lvl>
  </w:abstractNum>
  <w:abstractNum w:abstractNumId="1" w15:restartNumberingAfterBreak="0">
    <w:nsid w:val="03463526"/>
    <w:multiLevelType w:val="multilevel"/>
    <w:tmpl w:val="5AFCD3BA"/>
    <w:styleLink w:val="Clause"/>
    <w:lvl w:ilvl="0">
      <w:start w:val="1"/>
      <w:numFmt w:val="decimal"/>
      <w:lvlText w:val="%1."/>
      <w:lvlJc w:val="left"/>
      <w:pPr>
        <w:tabs>
          <w:tab w:val="num" w:pos="680"/>
        </w:tabs>
        <w:ind w:left="680" w:hanging="680"/>
      </w:pPr>
      <w:rPr>
        <w:rFonts w:hint="default"/>
        <w:b w:val="0"/>
        <w:color w:val="auto"/>
      </w:rPr>
    </w:lvl>
    <w:lvl w:ilvl="1">
      <w:start w:val="1"/>
      <w:numFmt w:val="decimal"/>
      <w:lvlText w:val="%1.%2"/>
      <w:lvlJc w:val="left"/>
      <w:pPr>
        <w:tabs>
          <w:tab w:val="num" w:pos="680"/>
        </w:tabs>
        <w:ind w:left="680" w:hanging="680"/>
      </w:pPr>
      <w:rPr>
        <w:rFonts w:hint="default"/>
        <w:b/>
        <w:i w:val="0"/>
        <w:color w:val="auto"/>
      </w:rPr>
    </w:lvl>
    <w:lvl w:ilvl="2">
      <w:start w:val="1"/>
      <w:numFmt w:val="lowerLetter"/>
      <w:lvlText w:val="(%3)"/>
      <w:lvlJc w:val="left"/>
      <w:pPr>
        <w:tabs>
          <w:tab w:val="num" w:pos="1361"/>
        </w:tabs>
        <w:ind w:left="1361" w:hanging="681"/>
      </w:pPr>
      <w:rPr>
        <w:rFonts w:hint="default"/>
        <w:i w:val="0"/>
        <w:color w:val="auto"/>
      </w:rPr>
    </w:lvl>
    <w:lvl w:ilvl="3">
      <w:start w:val="1"/>
      <w:numFmt w:val="lowerRoman"/>
      <w:lvlText w:val="(%4)"/>
      <w:lvlJc w:val="left"/>
      <w:pPr>
        <w:tabs>
          <w:tab w:val="num" w:pos="2081"/>
        </w:tabs>
        <w:ind w:left="2041" w:hanging="680"/>
      </w:pPr>
      <w:rPr>
        <w:rFonts w:hint="default"/>
        <w:i w:val="0"/>
        <w:color w:val="auto"/>
      </w:rPr>
    </w:lvl>
    <w:lvl w:ilvl="4">
      <w:start w:val="1"/>
      <w:numFmt w:val="upperLetter"/>
      <w:lvlText w:val="(%5)"/>
      <w:lvlJc w:val="left"/>
      <w:pPr>
        <w:tabs>
          <w:tab w:val="num" w:pos="2722"/>
        </w:tabs>
        <w:ind w:left="2722" w:hanging="681"/>
      </w:pPr>
      <w:rPr>
        <w:rFonts w:hint="default"/>
      </w:rPr>
    </w:lvl>
    <w:lvl w:ilvl="5">
      <w:start w:val="1"/>
      <w:numFmt w:val="upperRoman"/>
      <w:lvlText w:val="(%6)"/>
      <w:lvlJc w:val="left"/>
      <w:pPr>
        <w:tabs>
          <w:tab w:val="num" w:pos="3442"/>
        </w:tabs>
        <w:ind w:left="3402" w:hanging="680"/>
      </w:pPr>
      <w:rPr>
        <w:rFonts w:hint="default"/>
      </w:rPr>
    </w:lvl>
    <w:lvl w:ilvl="6">
      <w:start w:val="1"/>
      <w:numFmt w:val="none"/>
      <w:lvlText w:val="%7"/>
      <w:lvlJc w:val="left"/>
      <w:pPr>
        <w:tabs>
          <w:tab w:val="num" w:pos="5103"/>
        </w:tabs>
        <w:ind w:left="5103" w:hanging="850"/>
      </w:pPr>
      <w:rPr>
        <w:rFonts w:hint="default"/>
      </w:rPr>
    </w:lvl>
    <w:lvl w:ilvl="7">
      <w:start w:val="1"/>
      <w:numFmt w:val="none"/>
      <w:suff w:val="nothing"/>
      <w:lvlText w:val="%8"/>
      <w:lvlJc w:val="left"/>
      <w:pPr>
        <w:ind w:left="0" w:firstLine="0"/>
      </w:pPr>
      <w:rPr>
        <w:rFonts w:hint="default"/>
      </w:rPr>
    </w:lvl>
    <w:lvl w:ilvl="8">
      <w:start w:val="1"/>
      <w:numFmt w:val="none"/>
      <w:suff w:val="nothing"/>
      <w:lvlText w:val="%9"/>
      <w:lvlJc w:val="left"/>
      <w:pPr>
        <w:ind w:left="0" w:firstLine="0"/>
      </w:pPr>
      <w:rPr>
        <w:rFonts w:hint="default"/>
      </w:rPr>
    </w:lvl>
  </w:abstractNum>
  <w:abstractNum w:abstractNumId="2" w15:restartNumberingAfterBreak="0">
    <w:nsid w:val="0C5549D0"/>
    <w:multiLevelType w:val="hybridMultilevel"/>
    <w:tmpl w:val="517C6C36"/>
    <w:lvl w:ilvl="0" w:tplc="61EE871E">
      <w:start w:val="1"/>
      <w:numFmt w:val="bullet"/>
      <w:pStyle w:val="Tableindent"/>
      <w:lvlText w:val="­"/>
      <w:lvlJc w:val="left"/>
      <w:pPr>
        <w:tabs>
          <w:tab w:val="num" w:pos="142"/>
        </w:tabs>
        <w:ind w:left="142" w:hanging="142"/>
      </w:pPr>
      <w:rPr>
        <w:rFonts w:ascii="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BA5D43"/>
    <w:multiLevelType w:val="hybridMultilevel"/>
    <w:tmpl w:val="57804BB6"/>
    <w:lvl w:ilvl="0" w:tplc="0C09000F">
      <w:start w:val="1"/>
      <w:numFmt w:val="decimal"/>
      <w:lvlText w:val="%1."/>
      <w:lvlJc w:val="left"/>
      <w:pPr>
        <w:ind w:left="720" w:hanging="360"/>
      </w:pPr>
      <w:rPr>
        <w:rFonts w:cs="Times New Roman"/>
      </w:rPr>
    </w:lvl>
    <w:lvl w:ilvl="1" w:tplc="0C090019">
      <w:start w:val="1"/>
      <w:numFmt w:val="lowerLetter"/>
      <w:lvlText w:val="%2."/>
      <w:lvlJc w:val="left"/>
      <w:pPr>
        <w:ind w:left="1440" w:hanging="360"/>
      </w:pPr>
      <w:rPr>
        <w:rFonts w:cs="Times New Roman"/>
      </w:rPr>
    </w:lvl>
    <w:lvl w:ilvl="2" w:tplc="0C09001B">
      <w:start w:val="1"/>
      <w:numFmt w:val="lowerRoman"/>
      <w:lvlText w:val="%3."/>
      <w:lvlJc w:val="right"/>
      <w:pPr>
        <w:ind w:left="2160" w:hanging="180"/>
      </w:pPr>
      <w:rPr>
        <w:rFonts w:cs="Times New Roman"/>
      </w:rPr>
    </w:lvl>
    <w:lvl w:ilvl="3" w:tplc="0C09000F">
      <w:start w:val="1"/>
      <w:numFmt w:val="decimal"/>
      <w:lvlText w:val="%4."/>
      <w:lvlJc w:val="left"/>
      <w:pPr>
        <w:ind w:left="2880" w:hanging="360"/>
      </w:pPr>
      <w:rPr>
        <w:rFonts w:cs="Times New Roman"/>
      </w:rPr>
    </w:lvl>
    <w:lvl w:ilvl="4" w:tplc="0C090019">
      <w:start w:val="1"/>
      <w:numFmt w:val="lowerLetter"/>
      <w:lvlText w:val="%5."/>
      <w:lvlJc w:val="left"/>
      <w:pPr>
        <w:ind w:left="3600" w:hanging="360"/>
      </w:pPr>
      <w:rPr>
        <w:rFonts w:cs="Times New Roman"/>
      </w:rPr>
    </w:lvl>
    <w:lvl w:ilvl="5" w:tplc="0C09001B">
      <w:start w:val="1"/>
      <w:numFmt w:val="lowerRoman"/>
      <w:lvlText w:val="%6."/>
      <w:lvlJc w:val="right"/>
      <w:pPr>
        <w:ind w:left="4320" w:hanging="180"/>
      </w:pPr>
      <w:rPr>
        <w:rFonts w:cs="Times New Roman"/>
      </w:rPr>
    </w:lvl>
    <w:lvl w:ilvl="6" w:tplc="0C09000F">
      <w:start w:val="1"/>
      <w:numFmt w:val="decimal"/>
      <w:lvlText w:val="%7."/>
      <w:lvlJc w:val="left"/>
      <w:pPr>
        <w:ind w:left="5040" w:hanging="360"/>
      </w:pPr>
      <w:rPr>
        <w:rFonts w:cs="Times New Roman"/>
      </w:rPr>
    </w:lvl>
    <w:lvl w:ilvl="7" w:tplc="0C090019">
      <w:start w:val="1"/>
      <w:numFmt w:val="lowerLetter"/>
      <w:lvlText w:val="%8."/>
      <w:lvlJc w:val="left"/>
      <w:pPr>
        <w:ind w:left="5760" w:hanging="360"/>
      </w:pPr>
      <w:rPr>
        <w:rFonts w:cs="Times New Roman"/>
      </w:rPr>
    </w:lvl>
    <w:lvl w:ilvl="8" w:tplc="0C09001B">
      <w:start w:val="1"/>
      <w:numFmt w:val="lowerRoman"/>
      <w:lvlText w:val="%9."/>
      <w:lvlJc w:val="right"/>
      <w:pPr>
        <w:ind w:left="6480" w:hanging="180"/>
      </w:pPr>
      <w:rPr>
        <w:rFonts w:cs="Times New Roman"/>
      </w:rPr>
    </w:lvl>
  </w:abstractNum>
  <w:abstractNum w:abstractNumId="4" w15:restartNumberingAfterBreak="0">
    <w:nsid w:val="17350517"/>
    <w:multiLevelType w:val="multilevel"/>
    <w:tmpl w:val="93C6B2A4"/>
    <w:styleLink w:val="indexlist"/>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17A970A2"/>
    <w:multiLevelType w:val="hybridMultilevel"/>
    <w:tmpl w:val="281AC63E"/>
    <w:lvl w:ilvl="0" w:tplc="6B1A35E6">
      <w:start w:val="1"/>
      <w:numFmt w:val="bullet"/>
      <w:pStyle w:val="OptionalNormalIndent"/>
      <w:lvlText w:val="-"/>
      <w:lvlJc w:val="left"/>
      <w:pPr>
        <w:tabs>
          <w:tab w:val="num" w:pos="0"/>
        </w:tabs>
        <w:ind w:left="210" w:hanging="210"/>
      </w:pPr>
      <w:rPr>
        <w:rFonts w:ascii="Calibri" w:hAnsi="Calibri"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15:restartNumberingAfterBreak="0">
    <w:nsid w:val="1BA24F32"/>
    <w:multiLevelType w:val="hybridMultilevel"/>
    <w:tmpl w:val="F40AAF7C"/>
    <w:lvl w:ilvl="0" w:tplc="B4BE4DE0">
      <w:start w:val="1"/>
      <w:numFmt w:val="bullet"/>
      <w:pStyle w:val="Externalinden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7" w15:restartNumberingAfterBreak="0">
    <w:nsid w:val="297B1AB2"/>
    <w:multiLevelType w:val="hybridMultilevel"/>
    <w:tmpl w:val="6356485E"/>
    <w:lvl w:ilvl="0" w:tplc="A77CCF90">
      <w:start w:val="1"/>
      <w:numFmt w:val="bullet"/>
      <w:pStyle w:val="Promptindent"/>
      <w:lvlText w:val="­"/>
      <w:lvlJc w:val="left"/>
      <w:pPr>
        <w:tabs>
          <w:tab w:val="num" w:pos="210"/>
        </w:tabs>
        <w:ind w:left="210" w:hanging="210"/>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9B366D3"/>
    <w:multiLevelType w:val="multilevel"/>
    <w:tmpl w:val="D5CA255C"/>
    <w:styleLink w:val="unumberedlist"/>
    <w:lvl w:ilvl="0">
      <w:start w:val="1"/>
      <w:numFmt w:val="bullet"/>
      <w:lvlText w:val=""/>
      <w:lvlJc w:val="left"/>
      <w:pPr>
        <w:ind w:left="2160" w:hanging="360"/>
      </w:pPr>
      <w:rPr>
        <w:rFonts w:ascii="Symbol" w:hAnsi="Symbol" w:hint="default"/>
      </w:rPr>
    </w:lvl>
    <w:lvl w:ilvl="1">
      <w:start w:val="1"/>
      <w:numFmt w:val="bullet"/>
      <w:lvlText w:val="o"/>
      <w:lvlJc w:val="left"/>
      <w:pPr>
        <w:ind w:left="2592" w:hanging="432"/>
      </w:pPr>
      <w:rPr>
        <w:rFonts w:ascii="Courier New" w:hAnsi="Courier New" w:hint="default"/>
      </w:rPr>
    </w:lvl>
    <w:lvl w:ilvl="2">
      <w:start w:val="1"/>
      <w:numFmt w:val="bullet"/>
      <w:lvlText w:val=""/>
      <w:lvlJc w:val="left"/>
      <w:pPr>
        <w:ind w:left="3024" w:hanging="504"/>
      </w:pPr>
      <w:rPr>
        <w:rFonts w:ascii="Symbol" w:hAnsi="Symbol" w:hint="default"/>
        <w:color w:val="auto"/>
      </w:rPr>
    </w:lvl>
    <w:lvl w:ilvl="3">
      <w:start w:val="1"/>
      <w:numFmt w:val="bullet"/>
      <w:lvlText w:val=""/>
      <w:lvlJc w:val="left"/>
      <w:pPr>
        <w:ind w:left="3528" w:hanging="648"/>
      </w:pPr>
      <w:rPr>
        <w:rFonts w:ascii="Symbol" w:hAnsi="Symbol" w:hint="default"/>
        <w:color w:val="auto"/>
      </w:rPr>
    </w:lvl>
    <w:lvl w:ilvl="4">
      <w:start w:val="1"/>
      <w:numFmt w:val="bullet"/>
      <w:lvlText w:val=""/>
      <w:lvlJc w:val="left"/>
      <w:pPr>
        <w:ind w:left="4032" w:hanging="792"/>
      </w:pPr>
      <w:rPr>
        <w:rFonts w:ascii="Symbol" w:hAnsi="Symbol" w:hint="default"/>
        <w:color w:val="auto"/>
      </w:rPr>
    </w:lvl>
    <w:lvl w:ilvl="5">
      <w:start w:val="1"/>
      <w:numFmt w:val="bullet"/>
      <w:lvlText w:val="o"/>
      <w:lvlJc w:val="left"/>
      <w:pPr>
        <w:ind w:left="4536" w:hanging="936"/>
      </w:pPr>
      <w:rPr>
        <w:rFonts w:ascii="Courier New" w:hAnsi="Courier New" w:hint="default"/>
      </w:rPr>
    </w:lvl>
    <w:lvl w:ilvl="6">
      <w:start w:val="1"/>
      <w:numFmt w:val="decimal"/>
      <w:lvlText w:val="%1.%2.%3.%4.%5.%6.%7."/>
      <w:lvlJc w:val="left"/>
      <w:pPr>
        <w:ind w:left="5040" w:hanging="1080"/>
      </w:pPr>
      <w:rPr>
        <w:rFonts w:hint="default"/>
      </w:rPr>
    </w:lvl>
    <w:lvl w:ilvl="7">
      <w:start w:val="1"/>
      <w:numFmt w:val="decimal"/>
      <w:lvlText w:val="%1.%2.%3.%4.%5.%6.%7.%8."/>
      <w:lvlJc w:val="left"/>
      <w:pPr>
        <w:ind w:left="5544" w:hanging="1224"/>
      </w:pPr>
      <w:rPr>
        <w:rFonts w:hint="default"/>
      </w:rPr>
    </w:lvl>
    <w:lvl w:ilvl="8">
      <w:start w:val="1"/>
      <w:numFmt w:val="decimal"/>
      <w:lvlText w:val="%1.%2.%3.%4.%5.%6.%7.%8.%9."/>
      <w:lvlJc w:val="left"/>
      <w:pPr>
        <w:ind w:left="6120" w:hanging="1440"/>
      </w:pPr>
      <w:rPr>
        <w:rFonts w:hint="default"/>
      </w:rPr>
    </w:lvl>
  </w:abstractNum>
  <w:abstractNum w:abstractNumId="9" w15:restartNumberingAfterBreak="0">
    <w:nsid w:val="2CBC5F09"/>
    <w:multiLevelType w:val="multilevel"/>
    <w:tmpl w:val="66C4FE1C"/>
    <w:styleLink w:val="Warranty"/>
    <w:lvl w:ilvl="0">
      <w:start w:val="1"/>
      <w:numFmt w:val="decimal"/>
      <w:suff w:val="nothing"/>
      <w:lvlText w:val="Warranty %1"/>
      <w:lvlJc w:val="left"/>
      <w:pPr>
        <w:ind w:left="0" w:firstLine="0"/>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color w:val="auto"/>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680"/>
        </w:tabs>
        <w:ind w:left="680" w:hanging="680"/>
      </w:pPr>
      <w:rPr>
        <w:rFonts w:hint="default"/>
        <w:i w:val="0"/>
        <w:color w:val="auto"/>
      </w:rPr>
    </w:lvl>
    <w:lvl w:ilvl="2">
      <w:start w:val="1"/>
      <w:numFmt w:val="lowerLetter"/>
      <w:lvlText w:val="(%3)"/>
      <w:lvlJc w:val="left"/>
      <w:pPr>
        <w:tabs>
          <w:tab w:val="num" w:pos="1361"/>
        </w:tabs>
        <w:ind w:left="1361" w:hanging="681"/>
      </w:pPr>
      <w:rPr>
        <w:rFonts w:hint="default"/>
        <w:color w:val="auto"/>
      </w:rPr>
    </w:lvl>
    <w:lvl w:ilvl="3">
      <w:start w:val="1"/>
      <w:numFmt w:val="lowerRoman"/>
      <w:lvlText w:val="(%4)"/>
      <w:lvlJc w:val="left"/>
      <w:pPr>
        <w:tabs>
          <w:tab w:val="num" w:pos="2081"/>
        </w:tabs>
        <w:ind w:left="2041" w:hanging="680"/>
      </w:pPr>
      <w:rPr>
        <w:rFonts w:hint="default"/>
        <w:color w:val="auto"/>
      </w:rPr>
    </w:lvl>
    <w:lvl w:ilvl="4">
      <w:start w:val="1"/>
      <w:numFmt w:val="upperLetter"/>
      <w:lvlText w:val="(%5)"/>
      <w:lvlJc w:val="left"/>
      <w:pPr>
        <w:tabs>
          <w:tab w:val="num" w:pos="2722"/>
        </w:tabs>
        <w:ind w:left="2722" w:hanging="681"/>
      </w:pPr>
      <w:rPr>
        <w:rFonts w:hint="default"/>
      </w:rPr>
    </w:lvl>
    <w:lvl w:ilvl="5">
      <w:start w:val="1"/>
      <w:numFmt w:val="none"/>
      <w:lvlText w:val=""/>
      <w:lvlJc w:val="left"/>
      <w:pPr>
        <w:tabs>
          <w:tab w:val="num" w:pos="2736"/>
        </w:tabs>
        <w:ind w:left="2736" w:hanging="936"/>
      </w:pPr>
      <w:rPr>
        <w:rFonts w:hint="default"/>
      </w:rPr>
    </w:lvl>
    <w:lvl w:ilvl="6">
      <w:start w:val="1"/>
      <w:numFmt w:val="none"/>
      <w:lvlText w:val=""/>
      <w:lvlJc w:val="left"/>
      <w:pPr>
        <w:tabs>
          <w:tab w:val="num" w:pos="3240"/>
        </w:tabs>
        <w:ind w:left="3240" w:hanging="1080"/>
      </w:pPr>
      <w:rPr>
        <w:rFonts w:hint="default"/>
      </w:rPr>
    </w:lvl>
    <w:lvl w:ilvl="7">
      <w:start w:val="1"/>
      <w:numFmt w:val="none"/>
      <w:lvlText w:val=""/>
      <w:lvlJc w:val="left"/>
      <w:pPr>
        <w:tabs>
          <w:tab w:val="num" w:pos="3744"/>
        </w:tabs>
        <w:ind w:left="3744" w:hanging="1224"/>
      </w:pPr>
      <w:rPr>
        <w:rFonts w:hint="default"/>
      </w:rPr>
    </w:lvl>
    <w:lvl w:ilvl="8">
      <w:start w:val="1"/>
      <w:numFmt w:val="none"/>
      <w:lvlText w:val=""/>
      <w:lvlJc w:val="left"/>
      <w:pPr>
        <w:tabs>
          <w:tab w:val="num" w:pos="4320"/>
        </w:tabs>
        <w:ind w:left="4320" w:hanging="1440"/>
      </w:pPr>
      <w:rPr>
        <w:rFonts w:hint="default"/>
      </w:rPr>
    </w:lvl>
  </w:abstractNum>
  <w:abstractNum w:abstractNumId="10" w15:restartNumberingAfterBreak="0">
    <w:nsid w:val="2CDB0B85"/>
    <w:multiLevelType w:val="multilevel"/>
    <w:tmpl w:val="6EB8079C"/>
    <w:lvl w:ilvl="0">
      <w:start w:val="1"/>
      <w:numFmt w:val="none"/>
      <w:pStyle w:val="Heading1"/>
      <w:suff w:val="nothing"/>
      <w:lvlText w:val=""/>
      <w:lvlJc w:val="left"/>
      <w:pPr>
        <w:ind w:left="0" w:firstLine="0"/>
      </w:pPr>
      <w:rPr>
        <w:rFonts w:hint="default"/>
      </w:rPr>
    </w:lvl>
    <w:lvl w:ilvl="1">
      <w:start w:val="1"/>
      <w:numFmt w:val="decimal"/>
      <w:pStyle w:val="Heading2"/>
      <w:lvlText w:val="%2"/>
      <w:lvlJc w:val="left"/>
      <w:pPr>
        <w:tabs>
          <w:tab w:val="num" w:pos="567"/>
        </w:tabs>
        <w:ind w:left="567" w:hanging="567"/>
      </w:pPr>
      <w:rPr>
        <w:rFonts w:hint="default"/>
      </w:rPr>
    </w:lvl>
    <w:lvl w:ilvl="2">
      <w:start w:val="1"/>
      <w:numFmt w:val="decimal"/>
      <w:pStyle w:val="Heading3"/>
      <w:lvlText w:val="%2.%3"/>
      <w:lvlJc w:val="left"/>
      <w:pPr>
        <w:tabs>
          <w:tab w:val="num" w:pos="567"/>
        </w:tabs>
        <w:ind w:left="567" w:hanging="567"/>
      </w:pPr>
      <w:rPr>
        <w:rFonts w:hint="default"/>
      </w:rPr>
    </w:lvl>
    <w:lvl w:ilvl="3">
      <w:start w:val="1"/>
      <w:numFmt w:val="decimal"/>
      <w:lvlText w:val="%2.%3.%4"/>
      <w:lvlJc w:val="left"/>
      <w:pPr>
        <w:tabs>
          <w:tab w:val="num" w:pos="0"/>
        </w:tabs>
        <w:ind w:left="0" w:firstLine="0"/>
      </w:pPr>
      <w:rPr>
        <w:rFonts w:hint="default"/>
      </w:rPr>
    </w:lvl>
    <w:lvl w:ilvl="4">
      <w:start w:val="1"/>
      <w:numFmt w:val="decimal"/>
      <w:pStyle w:val="Heading5"/>
      <w:lvlText w:val=".%5"/>
      <w:lvlJc w:val="left"/>
      <w:pPr>
        <w:tabs>
          <w:tab w:val="num" w:pos="0"/>
        </w:tabs>
        <w:ind w:left="0" w:firstLine="0"/>
      </w:pPr>
      <w:rPr>
        <w:rFonts w:hint="default"/>
      </w:rPr>
    </w:lvl>
    <w:lvl w:ilvl="5">
      <w:start w:val="1"/>
      <w:numFmt w:val="decimal"/>
      <w:pStyle w:val="Heading6"/>
      <w:lvlText w:val=".%5.%6"/>
      <w:lvlJc w:val="left"/>
      <w:pPr>
        <w:tabs>
          <w:tab w:val="num" w:pos="0"/>
        </w:tabs>
        <w:ind w:left="0" w:firstLine="0"/>
      </w:pPr>
      <w:rPr>
        <w:rFonts w:hint="default"/>
      </w:rPr>
    </w:lvl>
    <w:lvl w:ilvl="6">
      <w:start w:val="1"/>
      <w:numFmt w:val="decimal"/>
      <w:pStyle w:val="Heading7"/>
      <w:lvlText w:val=".%5.%6.%7"/>
      <w:lvlJc w:val="left"/>
      <w:pPr>
        <w:tabs>
          <w:tab w:val="num" w:pos="0"/>
        </w:tabs>
        <w:ind w:left="0" w:firstLine="0"/>
      </w:pPr>
      <w:rPr>
        <w:rFonts w:hint="default"/>
      </w:rPr>
    </w:lvl>
    <w:lvl w:ilvl="7">
      <w:start w:val="1"/>
      <w:numFmt w:val="decimal"/>
      <w:pStyle w:val="Heading8"/>
      <w:lvlText w:val=".%5.%6.%7.%8"/>
      <w:lvlJc w:val="left"/>
      <w:pPr>
        <w:tabs>
          <w:tab w:val="num" w:pos="0"/>
        </w:tabs>
        <w:ind w:left="0" w:firstLine="0"/>
      </w:pPr>
      <w:rPr>
        <w:rFonts w:hint="default"/>
      </w:rPr>
    </w:lvl>
    <w:lvl w:ilvl="8">
      <w:start w:val="1"/>
      <w:numFmt w:val="decimal"/>
      <w:pStyle w:val="Heading9"/>
      <w:lvlText w:val=".%5.%6.%7.%8.%9"/>
      <w:lvlJc w:val="left"/>
      <w:pPr>
        <w:tabs>
          <w:tab w:val="num" w:pos="0"/>
        </w:tabs>
        <w:ind w:left="0" w:firstLine="0"/>
      </w:pPr>
      <w:rPr>
        <w:rFonts w:hint="default"/>
      </w:rPr>
    </w:lvl>
  </w:abstractNum>
  <w:abstractNum w:abstractNumId="11" w15:restartNumberingAfterBreak="0">
    <w:nsid w:val="2D932861"/>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2E0C3364"/>
    <w:multiLevelType w:val="hybridMultilevel"/>
    <w:tmpl w:val="E8A80A50"/>
    <w:lvl w:ilvl="0" w:tplc="78A02EB0">
      <w:start w:val="1"/>
      <w:numFmt w:val="bullet"/>
      <w:pStyle w:val="Tableindent2"/>
      <w:lvlText w:val="."/>
      <w:lvlJc w:val="left"/>
      <w:pPr>
        <w:tabs>
          <w:tab w:val="num" w:pos="0"/>
        </w:tabs>
        <w:ind w:left="0" w:firstLine="142"/>
      </w:pPr>
      <w:rPr>
        <w:rFonts w:ascii="Times New Roman" w:hAnsi="Times New Roman" w:cs="Times New Roman" w:hint="default"/>
      </w:rPr>
    </w:lvl>
    <w:lvl w:ilvl="1" w:tplc="04090003" w:tentative="1">
      <w:start w:val="1"/>
      <w:numFmt w:val="bullet"/>
      <w:lvlText w:val="o"/>
      <w:lvlJc w:val="left"/>
      <w:pPr>
        <w:tabs>
          <w:tab w:val="num" w:pos="1582"/>
        </w:tabs>
        <w:ind w:left="1582" w:hanging="360"/>
      </w:pPr>
      <w:rPr>
        <w:rFonts w:ascii="Courier New" w:hAnsi="Courier New" w:cs="Courier New" w:hint="default"/>
      </w:rPr>
    </w:lvl>
    <w:lvl w:ilvl="2" w:tplc="04090005" w:tentative="1">
      <w:start w:val="1"/>
      <w:numFmt w:val="bullet"/>
      <w:lvlText w:val=""/>
      <w:lvlJc w:val="left"/>
      <w:pPr>
        <w:tabs>
          <w:tab w:val="num" w:pos="2302"/>
        </w:tabs>
        <w:ind w:left="2302" w:hanging="360"/>
      </w:pPr>
      <w:rPr>
        <w:rFonts w:ascii="Wingdings" w:hAnsi="Wingdings" w:hint="default"/>
      </w:rPr>
    </w:lvl>
    <w:lvl w:ilvl="3" w:tplc="04090001" w:tentative="1">
      <w:start w:val="1"/>
      <w:numFmt w:val="bullet"/>
      <w:lvlText w:val=""/>
      <w:lvlJc w:val="left"/>
      <w:pPr>
        <w:tabs>
          <w:tab w:val="num" w:pos="3022"/>
        </w:tabs>
        <w:ind w:left="3022" w:hanging="360"/>
      </w:pPr>
      <w:rPr>
        <w:rFonts w:ascii="Symbol" w:hAnsi="Symbol" w:hint="default"/>
      </w:rPr>
    </w:lvl>
    <w:lvl w:ilvl="4" w:tplc="04090003" w:tentative="1">
      <w:start w:val="1"/>
      <w:numFmt w:val="bullet"/>
      <w:lvlText w:val="o"/>
      <w:lvlJc w:val="left"/>
      <w:pPr>
        <w:tabs>
          <w:tab w:val="num" w:pos="3742"/>
        </w:tabs>
        <w:ind w:left="3742" w:hanging="360"/>
      </w:pPr>
      <w:rPr>
        <w:rFonts w:ascii="Courier New" w:hAnsi="Courier New" w:cs="Courier New" w:hint="default"/>
      </w:rPr>
    </w:lvl>
    <w:lvl w:ilvl="5" w:tplc="04090005" w:tentative="1">
      <w:start w:val="1"/>
      <w:numFmt w:val="bullet"/>
      <w:lvlText w:val=""/>
      <w:lvlJc w:val="left"/>
      <w:pPr>
        <w:tabs>
          <w:tab w:val="num" w:pos="4462"/>
        </w:tabs>
        <w:ind w:left="4462" w:hanging="360"/>
      </w:pPr>
      <w:rPr>
        <w:rFonts w:ascii="Wingdings" w:hAnsi="Wingdings" w:hint="default"/>
      </w:rPr>
    </w:lvl>
    <w:lvl w:ilvl="6" w:tplc="04090001" w:tentative="1">
      <w:start w:val="1"/>
      <w:numFmt w:val="bullet"/>
      <w:lvlText w:val=""/>
      <w:lvlJc w:val="left"/>
      <w:pPr>
        <w:tabs>
          <w:tab w:val="num" w:pos="5182"/>
        </w:tabs>
        <w:ind w:left="5182" w:hanging="360"/>
      </w:pPr>
      <w:rPr>
        <w:rFonts w:ascii="Symbol" w:hAnsi="Symbol" w:hint="default"/>
      </w:rPr>
    </w:lvl>
    <w:lvl w:ilvl="7" w:tplc="04090003" w:tentative="1">
      <w:start w:val="1"/>
      <w:numFmt w:val="bullet"/>
      <w:lvlText w:val="o"/>
      <w:lvlJc w:val="left"/>
      <w:pPr>
        <w:tabs>
          <w:tab w:val="num" w:pos="5902"/>
        </w:tabs>
        <w:ind w:left="5902" w:hanging="360"/>
      </w:pPr>
      <w:rPr>
        <w:rFonts w:ascii="Courier New" w:hAnsi="Courier New" w:cs="Courier New" w:hint="default"/>
      </w:rPr>
    </w:lvl>
    <w:lvl w:ilvl="8" w:tplc="04090005" w:tentative="1">
      <w:start w:val="1"/>
      <w:numFmt w:val="bullet"/>
      <w:lvlText w:val=""/>
      <w:lvlJc w:val="left"/>
      <w:pPr>
        <w:tabs>
          <w:tab w:val="num" w:pos="6622"/>
        </w:tabs>
        <w:ind w:left="6622" w:hanging="360"/>
      </w:pPr>
      <w:rPr>
        <w:rFonts w:ascii="Wingdings" w:hAnsi="Wingdings" w:hint="default"/>
      </w:rPr>
    </w:lvl>
  </w:abstractNum>
  <w:abstractNum w:abstractNumId="13" w15:restartNumberingAfterBreak="0">
    <w:nsid w:val="382349AF"/>
    <w:multiLevelType w:val="hybridMultilevel"/>
    <w:tmpl w:val="BB4E3C96"/>
    <w:lvl w:ilvl="0" w:tplc="11EA9DCE">
      <w:numFmt w:val="bullet"/>
      <w:pStyle w:val="NormalIndent"/>
      <w:lvlText w:val="-"/>
      <w:lvlJc w:val="left"/>
      <w:pPr>
        <w:tabs>
          <w:tab w:val="num" w:pos="0"/>
        </w:tabs>
        <w:ind w:left="210" w:hanging="210"/>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55D403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15:restartNumberingAfterBreak="0">
    <w:nsid w:val="461E201C"/>
    <w:multiLevelType w:val="multilevel"/>
    <w:tmpl w:val="4FC21C2E"/>
    <w:lvl w:ilvl="0">
      <w:start w:val="1"/>
      <w:numFmt w:val="none"/>
      <w:pStyle w:val="DefinitionL1"/>
      <w:suff w:val="nothing"/>
      <w:lvlText w:val=""/>
      <w:lvlJc w:val="left"/>
      <w:pPr>
        <w:ind w:left="680" w:firstLine="0"/>
      </w:pPr>
      <w:rPr>
        <w:rFonts w:hint="default"/>
      </w:rPr>
    </w:lvl>
    <w:lvl w:ilvl="1">
      <w:start w:val="1"/>
      <w:numFmt w:val="lowerLetter"/>
      <w:pStyle w:val="DefinitionL2"/>
      <w:lvlText w:val="(%2)"/>
      <w:lvlJc w:val="left"/>
      <w:pPr>
        <w:tabs>
          <w:tab w:val="num" w:pos="1361"/>
        </w:tabs>
        <w:ind w:left="1361" w:hanging="681"/>
      </w:pPr>
      <w:rPr>
        <w:rFonts w:hint="default"/>
      </w:rPr>
    </w:lvl>
    <w:lvl w:ilvl="2">
      <w:start w:val="1"/>
      <w:numFmt w:val="lowerRoman"/>
      <w:pStyle w:val="DefinitionL3"/>
      <w:lvlText w:val="(%3)"/>
      <w:lvlJc w:val="left"/>
      <w:pPr>
        <w:tabs>
          <w:tab w:val="num" w:pos="2081"/>
        </w:tabs>
        <w:ind w:left="2041" w:hanging="680"/>
      </w:pPr>
      <w:rPr>
        <w:rFonts w:hint="default"/>
      </w:rPr>
    </w:lvl>
    <w:lvl w:ilvl="3">
      <w:start w:val="1"/>
      <w:numFmt w:val="upperLetter"/>
      <w:pStyle w:val="DefinitionL4"/>
      <w:lvlText w:val="(%4)"/>
      <w:lvlJc w:val="left"/>
      <w:pPr>
        <w:tabs>
          <w:tab w:val="num" w:pos="2801"/>
        </w:tabs>
        <w:ind w:left="2801" w:hanging="680"/>
      </w:pPr>
      <w:rPr>
        <w:rFonts w:hint="default"/>
      </w:rPr>
    </w:lvl>
    <w:lvl w:ilvl="4">
      <w:start w:val="1"/>
      <w:numFmt w:val="none"/>
      <w:lvlText w:val=""/>
      <w:lvlJc w:val="left"/>
      <w:pPr>
        <w:tabs>
          <w:tab w:val="num" w:pos="360"/>
        </w:tabs>
        <w:ind w:left="0" w:firstLine="0"/>
      </w:pPr>
      <w:rPr>
        <w:rFonts w:hint="default"/>
      </w:rPr>
    </w:lvl>
    <w:lvl w:ilvl="5">
      <w:start w:val="1"/>
      <w:numFmt w:val="none"/>
      <w:lvlText w:val=""/>
      <w:lvlJc w:val="left"/>
      <w:pPr>
        <w:tabs>
          <w:tab w:val="num" w:pos="360"/>
        </w:tabs>
        <w:ind w:left="0" w:firstLine="0"/>
      </w:pPr>
      <w:rPr>
        <w:rFonts w:hint="default"/>
      </w:rPr>
    </w:lvl>
    <w:lvl w:ilvl="6">
      <w:start w:val="1"/>
      <w:numFmt w:val="none"/>
      <w:lvlText w:val=""/>
      <w:lvlJc w:val="left"/>
      <w:pPr>
        <w:tabs>
          <w:tab w:val="num" w:pos="360"/>
        </w:tabs>
        <w:ind w:left="0" w:firstLine="0"/>
      </w:pPr>
      <w:rPr>
        <w:rFonts w:hint="default"/>
      </w:rPr>
    </w:lvl>
    <w:lvl w:ilvl="7">
      <w:start w:val="1"/>
      <w:numFmt w:val="none"/>
      <w:lvlText w:val=""/>
      <w:lvlJc w:val="left"/>
      <w:pPr>
        <w:tabs>
          <w:tab w:val="num" w:pos="360"/>
        </w:tabs>
        <w:ind w:left="0" w:firstLine="0"/>
      </w:pPr>
      <w:rPr>
        <w:rFonts w:hint="default"/>
      </w:rPr>
    </w:lvl>
    <w:lvl w:ilvl="8">
      <w:start w:val="1"/>
      <w:numFmt w:val="none"/>
      <w:lvlText w:val=""/>
      <w:lvlJc w:val="left"/>
      <w:pPr>
        <w:tabs>
          <w:tab w:val="num" w:pos="360"/>
        </w:tabs>
        <w:ind w:left="0" w:firstLine="0"/>
      </w:pPr>
      <w:rPr>
        <w:rFonts w:hint="default"/>
      </w:rPr>
    </w:lvl>
  </w:abstractNum>
  <w:abstractNum w:abstractNumId="16" w15:restartNumberingAfterBreak="0">
    <w:nsid w:val="49C676F8"/>
    <w:multiLevelType w:val="singleLevel"/>
    <w:tmpl w:val="544C4E28"/>
    <w:lvl w:ilvl="0">
      <w:start w:val="1"/>
      <w:numFmt w:val="bullet"/>
      <w:pStyle w:val="Instructionsindent"/>
      <w:lvlText w:val=""/>
      <w:lvlJc w:val="left"/>
      <w:pPr>
        <w:tabs>
          <w:tab w:val="num" w:pos="420"/>
        </w:tabs>
        <w:ind w:left="420" w:hanging="360"/>
      </w:pPr>
      <w:rPr>
        <w:rFonts w:ascii="Symbol" w:hAnsi="Symbol" w:hint="default"/>
      </w:rPr>
    </w:lvl>
  </w:abstractNum>
  <w:abstractNum w:abstractNumId="17" w15:restartNumberingAfterBreak="0">
    <w:nsid w:val="4AC478DB"/>
    <w:multiLevelType w:val="multilevel"/>
    <w:tmpl w:val="B99E73C4"/>
    <w:styleLink w:val="headinglist"/>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4DCE2456"/>
    <w:multiLevelType w:val="multilevel"/>
    <w:tmpl w:val="EE025064"/>
    <w:styleLink w:val="Schedule"/>
    <w:lvl w:ilvl="0">
      <w:start w:val="1"/>
      <w:numFmt w:val="decimal"/>
      <w:suff w:val="nothing"/>
      <w:lvlText w:val="Schedule %1"/>
      <w:lvlJc w:val="left"/>
      <w:pPr>
        <w:ind w:left="0" w:firstLine="0"/>
      </w:pPr>
      <w:rPr>
        <w:rFonts w:ascii="Arial" w:hAnsi="Arial" w:hint="default"/>
        <w:b w:val="0"/>
        <w:i w:val="0"/>
        <w:color w:val="auto"/>
      </w:rPr>
    </w:lvl>
    <w:lvl w:ilvl="1">
      <w:start w:val="1"/>
      <w:numFmt w:val="decimal"/>
      <w:pStyle w:val="ScheduleL2"/>
      <w:lvlText w:val="%2."/>
      <w:lvlJc w:val="left"/>
      <w:pPr>
        <w:tabs>
          <w:tab w:val="num" w:pos="680"/>
        </w:tabs>
        <w:ind w:left="680" w:hanging="680"/>
      </w:pPr>
      <w:rPr>
        <w:rFonts w:hint="default"/>
        <w:color w:val="auto"/>
      </w:rPr>
    </w:lvl>
    <w:lvl w:ilvl="2">
      <w:start w:val="1"/>
      <w:numFmt w:val="decimal"/>
      <w:lvlText w:val="%2.%3"/>
      <w:lvlJc w:val="left"/>
      <w:pPr>
        <w:tabs>
          <w:tab w:val="num" w:pos="680"/>
        </w:tabs>
        <w:ind w:left="680" w:hanging="680"/>
      </w:pPr>
      <w:rPr>
        <w:rFonts w:hint="default"/>
        <w:color w:val="auto"/>
      </w:rPr>
    </w:lvl>
    <w:lvl w:ilvl="3">
      <w:start w:val="1"/>
      <w:numFmt w:val="lowerLetter"/>
      <w:lvlText w:val="(%4)"/>
      <w:lvlJc w:val="left"/>
      <w:pPr>
        <w:tabs>
          <w:tab w:val="num" w:pos="1361"/>
        </w:tabs>
        <w:ind w:left="1361" w:hanging="681"/>
      </w:pPr>
      <w:rPr>
        <w:rFonts w:hint="default"/>
        <w:color w:val="auto"/>
      </w:rPr>
    </w:lvl>
    <w:lvl w:ilvl="4">
      <w:start w:val="1"/>
      <w:numFmt w:val="lowerRoman"/>
      <w:lvlText w:val="(%5)"/>
      <w:lvlJc w:val="left"/>
      <w:pPr>
        <w:tabs>
          <w:tab w:val="num" w:pos="2081"/>
        </w:tabs>
        <w:ind w:left="2041" w:hanging="680"/>
      </w:pPr>
      <w:rPr>
        <w:rFonts w:hint="default"/>
        <w:color w:val="auto"/>
      </w:rPr>
    </w:lvl>
    <w:lvl w:ilvl="5">
      <w:start w:val="1"/>
      <w:numFmt w:val="upperLetter"/>
      <w:lvlText w:val="(%6)"/>
      <w:lvlJc w:val="left"/>
      <w:pPr>
        <w:tabs>
          <w:tab w:val="num" w:pos="2722"/>
        </w:tabs>
        <w:ind w:left="2722" w:hanging="681"/>
      </w:pPr>
      <w:rPr>
        <w:rFonts w:hint="default"/>
      </w:rPr>
    </w:lvl>
    <w:lvl w:ilvl="6">
      <w:start w:val="1"/>
      <w:numFmt w:val="none"/>
      <w:suff w:val="nothing"/>
      <w:lvlText w:val=""/>
      <w:lvlJc w:val="left"/>
      <w:pPr>
        <w:ind w:left="0" w:firstLine="0"/>
      </w:pPr>
      <w:rPr>
        <w:rFonts w:hint="default"/>
      </w:rPr>
    </w:lvl>
    <w:lvl w:ilvl="7">
      <w:start w:val="1"/>
      <w:numFmt w:val="none"/>
      <w:suff w:val="nothing"/>
      <w:lvlText w:val="%8"/>
      <w:lvlJc w:val="left"/>
      <w:pPr>
        <w:ind w:left="0" w:firstLine="0"/>
      </w:pPr>
      <w:rPr>
        <w:rFonts w:hint="default"/>
      </w:rPr>
    </w:lvl>
    <w:lvl w:ilvl="8">
      <w:start w:val="1"/>
      <w:numFmt w:val="none"/>
      <w:suff w:val="nothing"/>
      <w:lvlText w:val="%9"/>
      <w:lvlJc w:val="left"/>
      <w:pPr>
        <w:ind w:left="0" w:firstLine="0"/>
      </w:pPr>
      <w:rPr>
        <w:rFonts w:hint="default"/>
      </w:rPr>
    </w:lvl>
  </w:abstractNum>
  <w:abstractNum w:abstractNumId="19" w15:restartNumberingAfterBreak="0">
    <w:nsid w:val="4FD96DE1"/>
    <w:multiLevelType w:val="singleLevel"/>
    <w:tmpl w:val="3626B9FA"/>
    <w:lvl w:ilvl="0">
      <w:numFmt w:val="bullet"/>
      <w:pStyle w:val="NormalIndent2"/>
      <w:lvlText w:val="."/>
      <w:lvlJc w:val="left"/>
      <w:pPr>
        <w:tabs>
          <w:tab w:val="num" w:pos="210"/>
        </w:tabs>
        <w:ind w:left="420" w:hanging="210"/>
      </w:pPr>
      <w:rPr>
        <w:rFonts w:ascii="Times New Roman" w:hAnsi="Times New Roman" w:cs="Times New Roman" w:hint="default"/>
      </w:rPr>
    </w:lvl>
  </w:abstractNum>
  <w:abstractNum w:abstractNumId="20" w15:restartNumberingAfterBreak="0">
    <w:nsid w:val="5F9C2265"/>
    <w:multiLevelType w:val="hybridMultilevel"/>
    <w:tmpl w:val="7A661A20"/>
    <w:lvl w:ilvl="0" w:tplc="E3CE06F6">
      <w:start w:val="1"/>
      <w:numFmt w:val="bullet"/>
      <w:pStyle w:val="Promptindent2"/>
      <w:lvlText w:val="."/>
      <w:lvlJc w:val="left"/>
      <w:pPr>
        <w:tabs>
          <w:tab w:val="num" w:pos="210"/>
        </w:tabs>
        <w:ind w:left="210" w:firstLine="0"/>
      </w:pPr>
      <w:rPr>
        <w:rFonts w:ascii="Times New Roman" w:hAnsi="Times New Roman" w:cs="Times New Roman" w:hint="default"/>
      </w:rPr>
    </w:lvl>
    <w:lvl w:ilvl="1" w:tplc="04090003" w:tentative="1">
      <w:start w:val="1"/>
      <w:numFmt w:val="bullet"/>
      <w:lvlText w:val="o"/>
      <w:lvlJc w:val="left"/>
      <w:pPr>
        <w:tabs>
          <w:tab w:val="num" w:pos="1650"/>
        </w:tabs>
        <w:ind w:left="1650" w:hanging="360"/>
      </w:pPr>
      <w:rPr>
        <w:rFonts w:ascii="Courier New" w:hAnsi="Courier New" w:cs="Courier New" w:hint="default"/>
      </w:rPr>
    </w:lvl>
    <w:lvl w:ilvl="2" w:tplc="04090005" w:tentative="1">
      <w:start w:val="1"/>
      <w:numFmt w:val="bullet"/>
      <w:lvlText w:val=""/>
      <w:lvlJc w:val="left"/>
      <w:pPr>
        <w:tabs>
          <w:tab w:val="num" w:pos="2370"/>
        </w:tabs>
        <w:ind w:left="2370" w:hanging="360"/>
      </w:pPr>
      <w:rPr>
        <w:rFonts w:ascii="Wingdings" w:hAnsi="Wingdings" w:hint="default"/>
      </w:rPr>
    </w:lvl>
    <w:lvl w:ilvl="3" w:tplc="04090001" w:tentative="1">
      <w:start w:val="1"/>
      <w:numFmt w:val="bullet"/>
      <w:lvlText w:val=""/>
      <w:lvlJc w:val="left"/>
      <w:pPr>
        <w:tabs>
          <w:tab w:val="num" w:pos="3090"/>
        </w:tabs>
        <w:ind w:left="3090" w:hanging="360"/>
      </w:pPr>
      <w:rPr>
        <w:rFonts w:ascii="Symbol" w:hAnsi="Symbol" w:hint="default"/>
      </w:rPr>
    </w:lvl>
    <w:lvl w:ilvl="4" w:tplc="04090003" w:tentative="1">
      <w:start w:val="1"/>
      <w:numFmt w:val="bullet"/>
      <w:lvlText w:val="o"/>
      <w:lvlJc w:val="left"/>
      <w:pPr>
        <w:tabs>
          <w:tab w:val="num" w:pos="3810"/>
        </w:tabs>
        <w:ind w:left="3810" w:hanging="360"/>
      </w:pPr>
      <w:rPr>
        <w:rFonts w:ascii="Courier New" w:hAnsi="Courier New" w:cs="Courier New" w:hint="default"/>
      </w:rPr>
    </w:lvl>
    <w:lvl w:ilvl="5" w:tplc="04090005" w:tentative="1">
      <w:start w:val="1"/>
      <w:numFmt w:val="bullet"/>
      <w:lvlText w:val=""/>
      <w:lvlJc w:val="left"/>
      <w:pPr>
        <w:tabs>
          <w:tab w:val="num" w:pos="4530"/>
        </w:tabs>
        <w:ind w:left="4530" w:hanging="360"/>
      </w:pPr>
      <w:rPr>
        <w:rFonts w:ascii="Wingdings" w:hAnsi="Wingdings" w:hint="default"/>
      </w:rPr>
    </w:lvl>
    <w:lvl w:ilvl="6" w:tplc="04090001" w:tentative="1">
      <w:start w:val="1"/>
      <w:numFmt w:val="bullet"/>
      <w:lvlText w:val=""/>
      <w:lvlJc w:val="left"/>
      <w:pPr>
        <w:tabs>
          <w:tab w:val="num" w:pos="5250"/>
        </w:tabs>
        <w:ind w:left="5250" w:hanging="360"/>
      </w:pPr>
      <w:rPr>
        <w:rFonts w:ascii="Symbol" w:hAnsi="Symbol" w:hint="default"/>
      </w:rPr>
    </w:lvl>
    <w:lvl w:ilvl="7" w:tplc="04090003" w:tentative="1">
      <w:start w:val="1"/>
      <w:numFmt w:val="bullet"/>
      <w:lvlText w:val="o"/>
      <w:lvlJc w:val="left"/>
      <w:pPr>
        <w:tabs>
          <w:tab w:val="num" w:pos="5970"/>
        </w:tabs>
        <w:ind w:left="5970" w:hanging="360"/>
      </w:pPr>
      <w:rPr>
        <w:rFonts w:ascii="Courier New" w:hAnsi="Courier New" w:cs="Courier New" w:hint="default"/>
      </w:rPr>
    </w:lvl>
    <w:lvl w:ilvl="8" w:tplc="04090005" w:tentative="1">
      <w:start w:val="1"/>
      <w:numFmt w:val="bullet"/>
      <w:lvlText w:val=""/>
      <w:lvlJc w:val="left"/>
      <w:pPr>
        <w:tabs>
          <w:tab w:val="num" w:pos="6690"/>
        </w:tabs>
        <w:ind w:left="6690" w:hanging="360"/>
      </w:pPr>
      <w:rPr>
        <w:rFonts w:ascii="Wingdings" w:hAnsi="Wingdings" w:hint="default"/>
      </w:rPr>
    </w:lvl>
  </w:abstractNum>
  <w:abstractNum w:abstractNumId="21" w15:restartNumberingAfterBreak="0">
    <w:nsid w:val="685674E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6B1420C2"/>
    <w:multiLevelType w:val="multilevel"/>
    <w:tmpl w:val="4D5C1696"/>
    <w:lvl w:ilvl="0">
      <w:start w:val="1"/>
      <w:numFmt w:val="decimal"/>
      <w:suff w:val="nothing"/>
      <w:lvlText w:val="Schedule %1"/>
      <w:lvlJc w:val="left"/>
      <w:pPr>
        <w:ind w:left="0" w:firstLine="0"/>
      </w:pPr>
      <w:rPr>
        <w:rFonts w:ascii="Arial" w:hAnsi="Arial" w:hint="default"/>
        <w:b w:val="0"/>
        <w:i w:val="0"/>
      </w:rPr>
    </w:lvl>
    <w:lvl w:ilvl="1">
      <w:start w:val="1"/>
      <w:numFmt w:val="decimal"/>
      <w:lvlText w:val="%2."/>
      <w:lvlJc w:val="left"/>
      <w:pPr>
        <w:tabs>
          <w:tab w:val="num" w:pos="680"/>
        </w:tabs>
        <w:ind w:left="680" w:hanging="680"/>
      </w:pPr>
    </w:lvl>
    <w:lvl w:ilvl="2">
      <w:start w:val="1"/>
      <w:numFmt w:val="decimal"/>
      <w:lvlText w:val="%2.%3"/>
      <w:lvlJc w:val="left"/>
      <w:pPr>
        <w:tabs>
          <w:tab w:val="num" w:pos="680"/>
        </w:tabs>
        <w:ind w:left="680" w:hanging="680"/>
      </w:pPr>
    </w:lvl>
    <w:lvl w:ilvl="3">
      <w:start w:val="1"/>
      <w:numFmt w:val="lowerLetter"/>
      <w:lvlText w:val="(%4)"/>
      <w:lvlJc w:val="left"/>
      <w:pPr>
        <w:tabs>
          <w:tab w:val="num" w:pos="1361"/>
        </w:tabs>
        <w:ind w:left="1361" w:hanging="681"/>
      </w:pPr>
    </w:lvl>
    <w:lvl w:ilvl="4">
      <w:start w:val="1"/>
      <w:numFmt w:val="lowerRoman"/>
      <w:lvlText w:val="(%5)"/>
      <w:lvlJc w:val="left"/>
      <w:pPr>
        <w:tabs>
          <w:tab w:val="num" w:pos="2081"/>
        </w:tabs>
        <w:ind w:left="2041" w:hanging="680"/>
      </w:pPr>
    </w:lvl>
    <w:lvl w:ilvl="5">
      <w:start w:val="1"/>
      <w:numFmt w:val="upperLetter"/>
      <w:lvlText w:val="(%6)"/>
      <w:lvlJc w:val="left"/>
      <w:pPr>
        <w:tabs>
          <w:tab w:val="num" w:pos="2722"/>
        </w:tabs>
        <w:ind w:left="2722" w:hanging="681"/>
      </w:pPr>
    </w:lvl>
    <w:lvl w:ilvl="6">
      <w:start w:val="1"/>
      <w:numFmt w:val="none"/>
      <w:suff w:val="nothing"/>
      <w:lvlText w:val=""/>
      <w:lvlJc w:val="left"/>
      <w:pPr>
        <w:ind w:left="0" w:firstLine="0"/>
      </w:pPr>
    </w:lvl>
    <w:lvl w:ilvl="7">
      <w:start w:val="1"/>
      <w:numFmt w:val="none"/>
      <w:suff w:val="nothing"/>
      <w:lvlText w:val="%8"/>
      <w:lvlJc w:val="left"/>
      <w:pPr>
        <w:ind w:left="0" w:firstLine="0"/>
      </w:pPr>
    </w:lvl>
    <w:lvl w:ilvl="8">
      <w:start w:val="1"/>
      <w:numFmt w:val="none"/>
      <w:suff w:val="nothing"/>
      <w:lvlText w:val="%9"/>
      <w:lvlJc w:val="left"/>
      <w:pPr>
        <w:ind w:left="0" w:firstLine="0"/>
      </w:pPr>
    </w:lvl>
  </w:abstractNum>
  <w:abstractNum w:abstractNumId="23" w15:restartNumberingAfterBreak="0">
    <w:nsid w:val="7710775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319892461">
    <w:abstractNumId w:val="16"/>
  </w:num>
  <w:num w:numId="2" w16cid:durableId="1325474016">
    <w:abstractNumId w:val="0"/>
  </w:num>
  <w:num w:numId="3" w16cid:durableId="488135761">
    <w:abstractNumId w:val="19"/>
  </w:num>
  <w:num w:numId="4" w16cid:durableId="55982737">
    <w:abstractNumId w:val="2"/>
  </w:num>
  <w:num w:numId="5" w16cid:durableId="2124106526">
    <w:abstractNumId w:val="13"/>
  </w:num>
  <w:num w:numId="6" w16cid:durableId="810943686">
    <w:abstractNumId w:val="10"/>
  </w:num>
  <w:num w:numId="7" w16cid:durableId="520701674">
    <w:abstractNumId w:val="12"/>
  </w:num>
  <w:num w:numId="8" w16cid:durableId="262303869">
    <w:abstractNumId w:val="13"/>
  </w:num>
  <w:num w:numId="9" w16cid:durableId="2139950163">
    <w:abstractNumId w:val="7"/>
  </w:num>
  <w:num w:numId="10" w16cid:durableId="441613472">
    <w:abstractNumId w:val="20"/>
  </w:num>
  <w:num w:numId="11" w16cid:durableId="1993485217">
    <w:abstractNumId w:val="11"/>
  </w:num>
  <w:num w:numId="12" w16cid:durableId="1661814440">
    <w:abstractNumId w:val="23"/>
  </w:num>
  <w:num w:numId="13" w16cid:durableId="137840434">
    <w:abstractNumId w:val="14"/>
  </w:num>
  <w:num w:numId="14" w16cid:durableId="972826673">
    <w:abstractNumId w:val="21"/>
  </w:num>
  <w:num w:numId="15" w16cid:durableId="697849390">
    <w:abstractNumId w:val="7"/>
  </w:num>
  <w:num w:numId="16" w16cid:durableId="1060250337">
    <w:abstractNumId w:val="20"/>
  </w:num>
  <w:num w:numId="17" w16cid:durableId="361790403">
    <w:abstractNumId w:val="7"/>
  </w:num>
  <w:num w:numId="18" w16cid:durableId="2115785992">
    <w:abstractNumId w:val="0"/>
  </w:num>
  <w:num w:numId="19" w16cid:durableId="1371144922">
    <w:abstractNumId w:val="0"/>
  </w:num>
  <w:num w:numId="20" w16cid:durableId="2107725022">
    <w:abstractNumId w:val="7"/>
  </w:num>
  <w:num w:numId="21" w16cid:durableId="91053962">
    <w:abstractNumId w:val="10"/>
  </w:num>
  <w:num w:numId="22" w16cid:durableId="213395658">
    <w:abstractNumId w:val="13"/>
  </w:num>
  <w:num w:numId="23" w16cid:durableId="1369145269">
    <w:abstractNumId w:val="13"/>
  </w:num>
  <w:num w:numId="24" w16cid:durableId="1145010149">
    <w:abstractNumId w:val="5"/>
  </w:num>
  <w:num w:numId="25" w16cid:durableId="346179978">
    <w:abstractNumId w:val="5"/>
  </w:num>
  <w:num w:numId="26" w16cid:durableId="1735084580">
    <w:abstractNumId w:val="7"/>
  </w:num>
  <w:num w:numId="27" w16cid:durableId="542328729">
    <w:abstractNumId w:val="7"/>
  </w:num>
  <w:num w:numId="28" w16cid:durableId="1898935619">
    <w:abstractNumId w:val="5"/>
  </w:num>
  <w:num w:numId="29" w16cid:durableId="205265058">
    <w:abstractNumId w:val="5"/>
  </w:num>
  <w:num w:numId="30" w16cid:durableId="432744296">
    <w:abstractNumId w:val="5"/>
  </w:num>
  <w:num w:numId="31" w16cid:durableId="177697604">
    <w:abstractNumId w:val="19"/>
  </w:num>
  <w:num w:numId="32" w16cid:durableId="1277759770">
    <w:abstractNumId w:val="3"/>
  </w:num>
  <w:num w:numId="33" w16cid:durableId="339506406">
    <w:abstractNumId w:val="22"/>
  </w:num>
  <w:num w:numId="34" w16cid:durableId="1640529689">
    <w:abstractNumId w:val="1"/>
  </w:num>
  <w:num w:numId="35" w16cid:durableId="1245840321">
    <w:abstractNumId w:val="15"/>
  </w:num>
  <w:num w:numId="36" w16cid:durableId="1078479281">
    <w:abstractNumId w:val="18"/>
  </w:num>
  <w:num w:numId="37" w16cid:durableId="917441045">
    <w:abstractNumId w:val="9"/>
  </w:num>
  <w:num w:numId="38" w16cid:durableId="1147864533">
    <w:abstractNumId w:val="17"/>
  </w:num>
  <w:num w:numId="39" w16cid:durableId="400063501">
    <w:abstractNumId w:val="4"/>
  </w:num>
  <w:num w:numId="40" w16cid:durableId="1397433464">
    <w:abstractNumId w:val="8"/>
  </w:num>
  <w:num w:numId="41" w16cid:durableId="489754982">
    <w:abstractNumId w:val="6"/>
  </w:num>
</w:numbering>
</file>

<file path=word/settings.xml><?xml version="1.0" encoding="utf-8"?>
<w:settings xmlns:m="http://schemas.openxmlformats.org/officeDocument/2006/math" xmlns:mc="http://schemas.openxmlformats.org/markup-compatibility/2006"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sdtdh="http://schemas.microsoft.com/office/word/2020/wordml/sdtdatahash" xmlns:w16se="http://schemas.microsoft.com/office/word/2015/wordml/symex" mc:Ignorable="w14 w15 w16se w16cid w16 w16cex w16sdtdh">
  <w:zoom w:percent="100"/>
  <w:printFractionalCharacterWidth/>
  <w:hideGrammaticalErrors/>
  <w:activeWritingStyle w:appName="MSWord" w:lang="en-AU"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Fmt w:val="lowerRoman"/>
    <w:footnote w:id="-1"/>
    <w:footnote w:id="0"/>
  </w:footnotePr>
  <w:endnotePr>
    <w:pos w:val="sectEnd"/>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71E80"/>
    <w:rsid w:val="00000C09"/>
    <w:rsid w:val="0001492A"/>
    <w:rsid w:val="00015027"/>
    <w:rsid w:val="00026580"/>
    <w:rsid w:val="000306BA"/>
    <w:rsid w:val="00033740"/>
    <w:rsid w:val="0003482B"/>
    <w:rsid w:val="00035D60"/>
    <w:rsid w:val="0004192B"/>
    <w:rsid w:val="00043817"/>
    <w:rsid w:val="000525FE"/>
    <w:rsid w:val="00054110"/>
    <w:rsid w:val="00070729"/>
    <w:rsid w:val="00076042"/>
    <w:rsid w:val="00093056"/>
    <w:rsid w:val="000A6053"/>
    <w:rsid w:val="000B0F8F"/>
    <w:rsid w:val="000B3AFA"/>
    <w:rsid w:val="000C383C"/>
    <w:rsid w:val="000C4FF0"/>
    <w:rsid w:val="000D747D"/>
    <w:rsid w:val="000E037C"/>
    <w:rsid w:val="0010551F"/>
    <w:rsid w:val="00113C6F"/>
    <w:rsid w:val="00114AF8"/>
    <w:rsid w:val="0012143A"/>
    <w:rsid w:val="001452D0"/>
    <w:rsid w:val="00147FF6"/>
    <w:rsid w:val="00152A1C"/>
    <w:rsid w:val="00154A03"/>
    <w:rsid w:val="00164FFE"/>
    <w:rsid w:val="00165935"/>
    <w:rsid w:val="0017191C"/>
    <w:rsid w:val="00173F6D"/>
    <w:rsid w:val="00183A47"/>
    <w:rsid w:val="001933EE"/>
    <w:rsid w:val="00195012"/>
    <w:rsid w:val="001975D7"/>
    <w:rsid w:val="001A2F52"/>
    <w:rsid w:val="001C1983"/>
    <w:rsid w:val="001C2051"/>
    <w:rsid w:val="001C69A9"/>
    <w:rsid w:val="001D5D6B"/>
    <w:rsid w:val="001E3722"/>
    <w:rsid w:val="001E5C94"/>
    <w:rsid w:val="001F3B8D"/>
    <w:rsid w:val="00211DCB"/>
    <w:rsid w:val="00216F04"/>
    <w:rsid w:val="00221F32"/>
    <w:rsid w:val="0025068A"/>
    <w:rsid w:val="00265A15"/>
    <w:rsid w:val="0026671C"/>
    <w:rsid w:val="002721D7"/>
    <w:rsid w:val="002A20C2"/>
    <w:rsid w:val="002B4035"/>
    <w:rsid w:val="002B4CBB"/>
    <w:rsid w:val="002D75AD"/>
    <w:rsid w:val="003042D9"/>
    <w:rsid w:val="00332487"/>
    <w:rsid w:val="00346171"/>
    <w:rsid w:val="00346453"/>
    <w:rsid w:val="003465CA"/>
    <w:rsid w:val="003634A4"/>
    <w:rsid w:val="00367FDF"/>
    <w:rsid w:val="003704FE"/>
    <w:rsid w:val="00377499"/>
    <w:rsid w:val="003806E9"/>
    <w:rsid w:val="00385556"/>
    <w:rsid w:val="00385DD3"/>
    <w:rsid w:val="00391E4E"/>
    <w:rsid w:val="00395E07"/>
    <w:rsid w:val="00396C95"/>
    <w:rsid w:val="003A3A44"/>
    <w:rsid w:val="003A75D3"/>
    <w:rsid w:val="003D6832"/>
    <w:rsid w:val="003E4528"/>
    <w:rsid w:val="003E5ED2"/>
    <w:rsid w:val="003F10B8"/>
    <w:rsid w:val="004063DD"/>
    <w:rsid w:val="00406801"/>
    <w:rsid w:val="004147FD"/>
    <w:rsid w:val="00420ABA"/>
    <w:rsid w:val="0044474C"/>
    <w:rsid w:val="004463CE"/>
    <w:rsid w:val="0045251F"/>
    <w:rsid w:val="00471E80"/>
    <w:rsid w:val="004800E4"/>
    <w:rsid w:val="0049254F"/>
    <w:rsid w:val="00493FBB"/>
    <w:rsid w:val="004A1C7A"/>
    <w:rsid w:val="004B7490"/>
    <w:rsid w:val="004C00F9"/>
    <w:rsid w:val="004D3577"/>
    <w:rsid w:val="004E779E"/>
    <w:rsid w:val="00500AF2"/>
    <w:rsid w:val="0050389A"/>
    <w:rsid w:val="005163BB"/>
    <w:rsid w:val="00517F32"/>
    <w:rsid w:val="00550729"/>
    <w:rsid w:val="005510E4"/>
    <w:rsid w:val="005532A9"/>
    <w:rsid w:val="005615AA"/>
    <w:rsid w:val="0056684B"/>
    <w:rsid w:val="0057003C"/>
    <w:rsid w:val="00584ECB"/>
    <w:rsid w:val="00593B01"/>
    <w:rsid w:val="005C3403"/>
    <w:rsid w:val="005C633A"/>
    <w:rsid w:val="005D3BE6"/>
    <w:rsid w:val="005D4279"/>
    <w:rsid w:val="005E5B1E"/>
    <w:rsid w:val="005F0B9C"/>
    <w:rsid w:val="005F518F"/>
    <w:rsid w:val="005F6053"/>
    <w:rsid w:val="005F6D32"/>
    <w:rsid w:val="006061C5"/>
    <w:rsid w:val="006142B1"/>
    <w:rsid w:val="00635776"/>
    <w:rsid w:val="00655106"/>
    <w:rsid w:val="00655AC6"/>
    <w:rsid w:val="00655EED"/>
    <w:rsid w:val="006567D2"/>
    <w:rsid w:val="00663CEC"/>
    <w:rsid w:val="00666930"/>
    <w:rsid w:val="00667CD7"/>
    <w:rsid w:val="00682A41"/>
    <w:rsid w:val="006952CA"/>
    <w:rsid w:val="00695855"/>
    <w:rsid w:val="00695A40"/>
    <w:rsid w:val="006A05B6"/>
    <w:rsid w:val="006A7576"/>
    <w:rsid w:val="006B258D"/>
    <w:rsid w:val="006B35CB"/>
    <w:rsid w:val="006D4AE8"/>
    <w:rsid w:val="006E6D2A"/>
    <w:rsid w:val="006F4B89"/>
    <w:rsid w:val="006F73BB"/>
    <w:rsid w:val="0074575A"/>
    <w:rsid w:val="0074728C"/>
    <w:rsid w:val="00750BC6"/>
    <w:rsid w:val="007533D6"/>
    <w:rsid w:val="007551B5"/>
    <w:rsid w:val="00755CB6"/>
    <w:rsid w:val="00756783"/>
    <w:rsid w:val="007620F4"/>
    <w:rsid w:val="00776C7E"/>
    <w:rsid w:val="007B2C8C"/>
    <w:rsid w:val="007F566F"/>
    <w:rsid w:val="00816A88"/>
    <w:rsid w:val="0082407F"/>
    <w:rsid w:val="00830CA9"/>
    <w:rsid w:val="00832630"/>
    <w:rsid w:val="00835E8B"/>
    <w:rsid w:val="0083645C"/>
    <w:rsid w:val="008553FC"/>
    <w:rsid w:val="0086261B"/>
    <w:rsid w:val="00865883"/>
    <w:rsid w:val="00876920"/>
    <w:rsid w:val="008778AF"/>
    <w:rsid w:val="00886FFF"/>
    <w:rsid w:val="00887CFB"/>
    <w:rsid w:val="00892683"/>
    <w:rsid w:val="008940F8"/>
    <w:rsid w:val="00895922"/>
    <w:rsid w:val="008A25E0"/>
    <w:rsid w:val="008A6782"/>
    <w:rsid w:val="008B3753"/>
    <w:rsid w:val="008B4584"/>
    <w:rsid w:val="008B6CA3"/>
    <w:rsid w:val="008C18F5"/>
    <w:rsid w:val="008D400B"/>
    <w:rsid w:val="008D57D7"/>
    <w:rsid w:val="008D6870"/>
    <w:rsid w:val="008D68B9"/>
    <w:rsid w:val="008E557E"/>
    <w:rsid w:val="008E5DCD"/>
    <w:rsid w:val="008E799C"/>
    <w:rsid w:val="008F4C7D"/>
    <w:rsid w:val="008F690E"/>
    <w:rsid w:val="00913BCC"/>
    <w:rsid w:val="0091448E"/>
    <w:rsid w:val="00922113"/>
    <w:rsid w:val="009244B7"/>
    <w:rsid w:val="00925AE9"/>
    <w:rsid w:val="00933963"/>
    <w:rsid w:val="00944DD7"/>
    <w:rsid w:val="00957D09"/>
    <w:rsid w:val="00963298"/>
    <w:rsid w:val="00976C87"/>
    <w:rsid w:val="009772C2"/>
    <w:rsid w:val="00980774"/>
    <w:rsid w:val="00984422"/>
    <w:rsid w:val="0099258F"/>
    <w:rsid w:val="009A42D8"/>
    <w:rsid w:val="009B118F"/>
    <w:rsid w:val="009B1E9A"/>
    <w:rsid w:val="009B2FE5"/>
    <w:rsid w:val="009C0EFD"/>
    <w:rsid w:val="009C37B7"/>
    <w:rsid w:val="009C46D5"/>
    <w:rsid w:val="009D223F"/>
    <w:rsid w:val="00A05402"/>
    <w:rsid w:val="00A06CD8"/>
    <w:rsid w:val="00A1077B"/>
    <w:rsid w:val="00A16ECB"/>
    <w:rsid w:val="00A341D1"/>
    <w:rsid w:val="00A41850"/>
    <w:rsid w:val="00A6597C"/>
    <w:rsid w:val="00A8763C"/>
    <w:rsid w:val="00AB5BE3"/>
    <w:rsid w:val="00AC2163"/>
    <w:rsid w:val="00AC63A8"/>
    <w:rsid w:val="00AD0420"/>
    <w:rsid w:val="00AD5EAE"/>
    <w:rsid w:val="00AD7204"/>
    <w:rsid w:val="00AD748D"/>
    <w:rsid w:val="00AD7B04"/>
    <w:rsid w:val="00B029FB"/>
    <w:rsid w:val="00B24A40"/>
    <w:rsid w:val="00B2589F"/>
    <w:rsid w:val="00B271F3"/>
    <w:rsid w:val="00B40134"/>
    <w:rsid w:val="00B50F70"/>
    <w:rsid w:val="00B63C93"/>
    <w:rsid w:val="00B74727"/>
    <w:rsid w:val="00B83403"/>
    <w:rsid w:val="00B847BE"/>
    <w:rsid w:val="00B87EA6"/>
    <w:rsid w:val="00B906AF"/>
    <w:rsid w:val="00B91145"/>
    <w:rsid w:val="00B923BF"/>
    <w:rsid w:val="00BA509B"/>
    <w:rsid w:val="00BB3C2D"/>
    <w:rsid w:val="00BC4DEA"/>
    <w:rsid w:val="00BD47DE"/>
    <w:rsid w:val="00BE0DB0"/>
    <w:rsid w:val="00BE188B"/>
    <w:rsid w:val="00BF08E7"/>
    <w:rsid w:val="00BF35F9"/>
    <w:rsid w:val="00BF7065"/>
    <w:rsid w:val="00C10EF1"/>
    <w:rsid w:val="00C244ED"/>
    <w:rsid w:val="00C425FE"/>
    <w:rsid w:val="00C42FA6"/>
    <w:rsid w:val="00C44B56"/>
    <w:rsid w:val="00C4619E"/>
    <w:rsid w:val="00C652CE"/>
    <w:rsid w:val="00C72A30"/>
    <w:rsid w:val="00C76D43"/>
    <w:rsid w:val="00C77413"/>
    <w:rsid w:val="00C97CE5"/>
    <w:rsid w:val="00CB2EEF"/>
    <w:rsid w:val="00CB6139"/>
    <w:rsid w:val="00CB724D"/>
    <w:rsid w:val="00CE7DE6"/>
    <w:rsid w:val="00CF1B97"/>
    <w:rsid w:val="00D16B76"/>
    <w:rsid w:val="00D245D6"/>
    <w:rsid w:val="00D3270C"/>
    <w:rsid w:val="00D56651"/>
    <w:rsid w:val="00D61628"/>
    <w:rsid w:val="00D65B75"/>
    <w:rsid w:val="00D7123E"/>
    <w:rsid w:val="00D73A02"/>
    <w:rsid w:val="00D828A1"/>
    <w:rsid w:val="00D9043E"/>
    <w:rsid w:val="00D90768"/>
    <w:rsid w:val="00D917E7"/>
    <w:rsid w:val="00D92D4A"/>
    <w:rsid w:val="00D92F68"/>
    <w:rsid w:val="00D942AF"/>
    <w:rsid w:val="00DA00B9"/>
    <w:rsid w:val="00DA24A3"/>
    <w:rsid w:val="00DA6AE7"/>
    <w:rsid w:val="00DB53E4"/>
    <w:rsid w:val="00DD4268"/>
    <w:rsid w:val="00DD63AB"/>
    <w:rsid w:val="00DF27D6"/>
    <w:rsid w:val="00DF2B7E"/>
    <w:rsid w:val="00E001C9"/>
    <w:rsid w:val="00E025CF"/>
    <w:rsid w:val="00E2019B"/>
    <w:rsid w:val="00E22D6F"/>
    <w:rsid w:val="00E23FDE"/>
    <w:rsid w:val="00E34F94"/>
    <w:rsid w:val="00E4394A"/>
    <w:rsid w:val="00E47286"/>
    <w:rsid w:val="00E56438"/>
    <w:rsid w:val="00E56E5F"/>
    <w:rsid w:val="00E57BAC"/>
    <w:rsid w:val="00E60190"/>
    <w:rsid w:val="00E66049"/>
    <w:rsid w:val="00E7425A"/>
    <w:rsid w:val="00E913B7"/>
    <w:rsid w:val="00E951A6"/>
    <w:rsid w:val="00EA1E44"/>
    <w:rsid w:val="00EA2177"/>
    <w:rsid w:val="00EA238D"/>
    <w:rsid w:val="00EA3934"/>
    <w:rsid w:val="00EA3CD1"/>
    <w:rsid w:val="00EB2216"/>
    <w:rsid w:val="00EB2658"/>
    <w:rsid w:val="00EB335E"/>
    <w:rsid w:val="00EC064B"/>
    <w:rsid w:val="00EC2270"/>
    <w:rsid w:val="00EC7115"/>
    <w:rsid w:val="00ED3BC2"/>
    <w:rsid w:val="00ED470A"/>
    <w:rsid w:val="00ED4C52"/>
    <w:rsid w:val="00EE451D"/>
    <w:rsid w:val="00EF4C41"/>
    <w:rsid w:val="00F01B14"/>
    <w:rsid w:val="00F06734"/>
    <w:rsid w:val="00F07C78"/>
    <w:rsid w:val="00F149C3"/>
    <w:rsid w:val="00F20FCF"/>
    <w:rsid w:val="00F22960"/>
    <w:rsid w:val="00F415BD"/>
    <w:rsid w:val="00F52012"/>
    <w:rsid w:val="00F569CD"/>
    <w:rsid w:val="00F57EA1"/>
    <w:rsid w:val="00F60467"/>
    <w:rsid w:val="00F622A9"/>
    <w:rsid w:val="00F806AE"/>
    <w:rsid w:val="00F809E4"/>
    <w:rsid w:val="00F840CF"/>
    <w:rsid w:val="00FA082F"/>
    <w:rsid w:val="00FA520F"/>
    <w:rsid w:val="00FD337D"/>
    <w:rsid w:val="00FF00DA"/>
    <w:rsid w:val="00FF5A56"/>
    <w:rsid w:val="00FF5F9B"/>
    <w:rsid w:val="00FF7126"/>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E2D5AD1"/>
  <w15:docId w15:val="{F0059508-8643-442E-AA72-EED4F2F889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sdtdh="http://schemas.microsoft.com/office/word/2020/wordml/sdtdatahash" xmlns:w16se="http://schemas.microsoft.com/office/word/2015/wordml/symex" mc:Ignorable="w14 w15 w16se w16cid w16 w16cex w16sdtdh">
  <w:docDefaults>
    <w:rPrDefault>
      <w:rPr>
        <w:rFonts w:ascii="Tms Rmn" w:eastAsia="Times New Roman" w:hAnsi="Tms Rmn" w:cs="Times New Roman"/>
        <w:lang w:val="en-AU" w:eastAsia="en-AU"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B3C2D"/>
    <w:pPr>
      <w:tabs>
        <w:tab w:val="left" w:pos="3969"/>
      </w:tabs>
      <w:spacing w:after="60"/>
    </w:pPr>
    <w:rPr>
      <w:rFonts w:ascii="Arial" w:hAnsi="Arial"/>
      <w:lang w:eastAsia="en-US"/>
    </w:rPr>
  </w:style>
  <w:style w:type="paragraph" w:styleId="Heading1">
    <w:name w:val="heading 1"/>
    <w:next w:val="Heading2"/>
    <w:qFormat/>
    <w:rsid w:val="00BB3C2D"/>
    <w:pPr>
      <w:keepNext/>
      <w:numPr>
        <w:numId w:val="6"/>
      </w:numPr>
      <w:pBdr>
        <w:top w:val="single" w:sz="6" w:space="1" w:color="auto"/>
        <w:left w:val="single" w:sz="6" w:space="1" w:color="auto"/>
        <w:bottom w:val="single" w:sz="6" w:space="1" w:color="auto"/>
        <w:right w:val="single" w:sz="6" w:space="1" w:color="auto"/>
      </w:pBdr>
      <w:tabs>
        <w:tab w:val="right" w:pos="7655"/>
      </w:tabs>
      <w:spacing w:after="600"/>
      <w:outlineLvl w:val="0"/>
    </w:pPr>
    <w:rPr>
      <w:rFonts w:ascii="Arial" w:hAnsi="Arial"/>
      <w:b/>
      <w:caps/>
      <w:lang w:eastAsia="en-US"/>
    </w:rPr>
  </w:style>
  <w:style w:type="paragraph" w:styleId="Heading2">
    <w:name w:val="heading 2"/>
    <w:next w:val="Normal"/>
    <w:qFormat/>
    <w:rsid w:val="00BB3C2D"/>
    <w:pPr>
      <w:keepNext/>
      <w:numPr>
        <w:ilvl w:val="1"/>
        <w:numId w:val="6"/>
      </w:numPr>
      <w:pBdr>
        <w:bottom w:val="single" w:sz="6" w:space="1" w:color="auto"/>
      </w:pBdr>
      <w:spacing w:before="240" w:after="240"/>
      <w:outlineLvl w:val="1"/>
    </w:pPr>
    <w:rPr>
      <w:rFonts w:ascii="Arial" w:hAnsi="Arial"/>
      <w:b/>
      <w:caps/>
      <w:lang w:eastAsia="en-US"/>
    </w:rPr>
  </w:style>
  <w:style w:type="paragraph" w:styleId="Heading3">
    <w:name w:val="heading 3"/>
    <w:qFormat/>
    <w:rsid w:val="00BB3C2D"/>
    <w:pPr>
      <w:keepNext/>
      <w:numPr>
        <w:ilvl w:val="2"/>
        <w:numId w:val="6"/>
      </w:numPr>
      <w:spacing w:before="120" w:after="120"/>
      <w:outlineLvl w:val="2"/>
    </w:pPr>
    <w:rPr>
      <w:rFonts w:ascii="Arial" w:hAnsi="Arial"/>
      <w:b/>
      <w:caps/>
      <w:snapToGrid w:val="0"/>
      <w:lang w:eastAsia="en-US"/>
    </w:rPr>
  </w:style>
  <w:style w:type="paragraph" w:styleId="Heading4">
    <w:name w:val="heading 4"/>
    <w:next w:val="Normal"/>
    <w:qFormat/>
    <w:rsid w:val="00BB3C2D"/>
    <w:pPr>
      <w:keepNext/>
      <w:tabs>
        <w:tab w:val="left" w:pos="567"/>
        <w:tab w:val="left" w:pos="3969"/>
      </w:tabs>
      <w:spacing w:after="20"/>
      <w:outlineLvl w:val="3"/>
    </w:pPr>
    <w:rPr>
      <w:rFonts w:ascii="Arial" w:hAnsi="Arial"/>
      <w:b/>
      <w:lang w:eastAsia="en-US"/>
    </w:rPr>
  </w:style>
  <w:style w:type="paragraph" w:styleId="Heading5">
    <w:name w:val="heading 5"/>
    <w:basedOn w:val="Normal"/>
    <w:next w:val="Normal"/>
    <w:qFormat/>
    <w:rsid w:val="00BB3C2D"/>
    <w:pPr>
      <w:numPr>
        <w:ilvl w:val="4"/>
        <w:numId w:val="6"/>
      </w:numPr>
      <w:spacing w:before="240"/>
      <w:outlineLvl w:val="4"/>
    </w:pPr>
    <w:rPr>
      <w:sz w:val="22"/>
    </w:rPr>
  </w:style>
  <w:style w:type="paragraph" w:styleId="Heading6">
    <w:name w:val="heading 6"/>
    <w:basedOn w:val="Normal"/>
    <w:next w:val="Normal"/>
    <w:qFormat/>
    <w:rsid w:val="00BB3C2D"/>
    <w:pPr>
      <w:numPr>
        <w:ilvl w:val="5"/>
        <w:numId w:val="6"/>
      </w:numPr>
      <w:spacing w:before="240"/>
      <w:outlineLvl w:val="5"/>
    </w:pPr>
    <w:rPr>
      <w:i/>
      <w:sz w:val="22"/>
    </w:rPr>
  </w:style>
  <w:style w:type="paragraph" w:styleId="Heading7">
    <w:name w:val="heading 7"/>
    <w:basedOn w:val="Normal"/>
    <w:next w:val="Normal"/>
    <w:qFormat/>
    <w:rsid w:val="00BB3C2D"/>
    <w:pPr>
      <w:numPr>
        <w:ilvl w:val="6"/>
        <w:numId w:val="6"/>
      </w:numPr>
      <w:spacing w:before="240"/>
      <w:outlineLvl w:val="6"/>
    </w:pPr>
  </w:style>
  <w:style w:type="paragraph" w:styleId="Heading8">
    <w:name w:val="heading 8"/>
    <w:basedOn w:val="Normal"/>
    <w:next w:val="Normal"/>
    <w:qFormat/>
    <w:rsid w:val="00BB3C2D"/>
    <w:pPr>
      <w:numPr>
        <w:ilvl w:val="7"/>
        <w:numId w:val="6"/>
      </w:numPr>
      <w:spacing w:before="240"/>
      <w:outlineLvl w:val="7"/>
    </w:pPr>
    <w:rPr>
      <w:i/>
    </w:rPr>
  </w:style>
  <w:style w:type="paragraph" w:styleId="Heading9">
    <w:name w:val="heading 9"/>
    <w:basedOn w:val="Normal"/>
    <w:next w:val="Normal"/>
    <w:qFormat/>
    <w:rsid w:val="00BB3C2D"/>
    <w:pPr>
      <w:numPr>
        <w:ilvl w:val="8"/>
        <w:numId w:val="6"/>
      </w:numPr>
      <w:spacing w:before="240"/>
      <w:outlineLvl w:val="8"/>
    </w:pPr>
    <w:rPr>
      <w:i/>
    </w:rPr>
  </w:style>
  <w:style w:type="character" w:default="1" w:styleId="DefaultParagraphFont">
    <w:name w:val="Default Paragraph Font"/>
    <w:uiPriority w:val="1"/>
    <w:semiHidden/>
    <w:unhideWhenUsed/>
    <w:rsid w:val="00BB3C2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B3C2D"/>
  </w:style>
  <w:style w:type="paragraph" w:styleId="Footer">
    <w:name w:val="footer"/>
    <w:rsid w:val="00BB3C2D"/>
    <w:pPr>
      <w:tabs>
        <w:tab w:val="center" w:pos="4536"/>
        <w:tab w:val="right" w:pos="9072"/>
      </w:tabs>
    </w:pPr>
    <w:rPr>
      <w:rFonts w:ascii="Arial" w:hAnsi="Arial"/>
      <w:i/>
      <w:sz w:val="16"/>
      <w:szCs w:val="16"/>
      <w:lang w:eastAsia="en-US"/>
    </w:rPr>
  </w:style>
  <w:style w:type="paragraph" w:styleId="Header">
    <w:name w:val="header"/>
    <w:rsid w:val="00BB3C2D"/>
    <w:pPr>
      <w:pBdr>
        <w:bottom w:val="single" w:sz="6" w:space="4" w:color="auto"/>
      </w:pBdr>
      <w:tabs>
        <w:tab w:val="right" w:pos="9072"/>
      </w:tabs>
      <w:spacing w:after="200"/>
    </w:pPr>
    <w:rPr>
      <w:rFonts w:ascii="Arial" w:hAnsi="Arial"/>
      <w:b/>
      <w:i/>
      <w:lang w:eastAsia="en-US"/>
    </w:rPr>
  </w:style>
  <w:style w:type="paragraph" w:styleId="NormalIndent">
    <w:name w:val="Normal Indent"/>
    <w:rsid w:val="00BB3C2D"/>
    <w:pPr>
      <w:numPr>
        <w:numId w:val="5"/>
      </w:numPr>
      <w:tabs>
        <w:tab w:val="left" w:pos="210"/>
        <w:tab w:val="left" w:pos="3969"/>
      </w:tabs>
      <w:spacing w:after="60"/>
    </w:pPr>
    <w:rPr>
      <w:rFonts w:ascii="Arial" w:hAnsi="Arial"/>
      <w:lang w:eastAsia="en-US"/>
    </w:rPr>
  </w:style>
  <w:style w:type="paragraph" w:customStyle="1" w:styleId="Tabletext">
    <w:name w:val="Table text"/>
    <w:rsid w:val="00BB3C2D"/>
    <w:rPr>
      <w:rFonts w:ascii="Arial" w:hAnsi="Arial"/>
      <w:lang w:eastAsia="en-US"/>
    </w:rPr>
  </w:style>
  <w:style w:type="paragraph" w:customStyle="1" w:styleId="Tabletitle">
    <w:name w:val="Table title"/>
    <w:rsid w:val="00BB3C2D"/>
    <w:rPr>
      <w:rFonts w:ascii="Arial" w:hAnsi="Arial"/>
      <w:b/>
      <w:lang w:eastAsia="en-US"/>
    </w:rPr>
  </w:style>
  <w:style w:type="paragraph" w:customStyle="1" w:styleId="Tableindent">
    <w:name w:val="Table indent"/>
    <w:rsid w:val="00BB3C2D"/>
    <w:pPr>
      <w:numPr>
        <w:numId w:val="4"/>
      </w:numPr>
      <w:tabs>
        <w:tab w:val="left" w:pos="85"/>
      </w:tabs>
    </w:pPr>
    <w:rPr>
      <w:rFonts w:ascii="Arial" w:hAnsi="Arial"/>
      <w:lang w:eastAsia="en-US"/>
    </w:rPr>
  </w:style>
  <w:style w:type="paragraph" w:customStyle="1" w:styleId="NormalIndent2">
    <w:name w:val="Normal Indent 2"/>
    <w:rsid w:val="00BB3C2D"/>
    <w:pPr>
      <w:numPr>
        <w:numId w:val="3"/>
      </w:numPr>
      <w:tabs>
        <w:tab w:val="left" w:pos="420"/>
        <w:tab w:val="left" w:pos="3969"/>
      </w:tabs>
      <w:spacing w:after="60"/>
    </w:pPr>
    <w:rPr>
      <w:rFonts w:ascii="Arial" w:hAnsi="Arial"/>
      <w:lang w:eastAsia="en-US"/>
    </w:rPr>
  </w:style>
  <w:style w:type="paragraph" w:customStyle="1" w:styleId="NormalIndent3">
    <w:name w:val="Normal Indent 3"/>
    <w:rsid w:val="00BB3C2D"/>
    <w:pPr>
      <w:numPr>
        <w:numId w:val="2"/>
      </w:numPr>
      <w:tabs>
        <w:tab w:val="left" w:pos="420"/>
      </w:tabs>
      <w:spacing w:after="60"/>
    </w:pPr>
    <w:rPr>
      <w:rFonts w:ascii="Arial" w:hAnsi="Arial"/>
      <w:lang w:eastAsia="en-US"/>
    </w:rPr>
  </w:style>
  <w:style w:type="character" w:styleId="Hyperlink">
    <w:name w:val="Hyperlink"/>
    <w:rsid w:val="00BB3C2D"/>
    <w:rPr>
      <w:color w:val="0000FF"/>
      <w:u w:val="none"/>
      <w:bdr w:val="none" w:sz="0" w:space="0" w:color="auto"/>
    </w:rPr>
  </w:style>
  <w:style w:type="paragraph" w:customStyle="1" w:styleId="Guidancetabletext">
    <w:name w:val="Guidance table text"/>
    <w:basedOn w:val="Instructions"/>
    <w:rsid w:val="00BB3C2D"/>
    <w:pPr>
      <w:pBdr>
        <w:top w:val="none" w:sz="0" w:space="0" w:color="auto"/>
        <w:left w:val="none" w:sz="0" w:space="0" w:color="auto"/>
        <w:bottom w:val="none" w:sz="0" w:space="0" w:color="auto"/>
        <w:right w:val="none" w:sz="0" w:space="0" w:color="auto"/>
      </w:pBdr>
      <w:spacing w:after="0" w:line="240" w:lineRule="auto"/>
    </w:pPr>
    <w:rPr>
      <w:szCs w:val="16"/>
    </w:rPr>
  </w:style>
  <w:style w:type="character" w:customStyle="1" w:styleId="Bold">
    <w:name w:val="Bold"/>
    <w:rsid w:val="00BB3C2D"/>
    <w:rPr>
      <w:b/>
      <w:bCs/>
    </w:rPr>
  </w:style>
  <w:style w:type="character" w:customStyle="1" w:styleId="Italic">
    <w:name w:val="Italic"/>
    <w:rsid w:val="00BB3C2D"/>
    <w:rPr>
      <w:i/>
      <w:iCs/>
    </w:rPr>
  </w:style>
  <w:style w:type="character" w:customStyle="1" w:styleId="Symbol">
    <w:name w:val="Symbol"/>
    <w:rsid w:val="00BB3C2D"/>
    <w:rPr>
      <w:rFonts w:ascii="Symbol" w:hAnsi="Symbol"/>
    </w:rPr>
  </w:style>
  <w:style w:type="paragraph" w:customStyle="1" w:styleId="Instructions">
    <w:name w:val="Instructions"/>
    <w:basedOn w:val="Normal"/>
    <w:rsid w:val="00BB3C2D"/>
    <w:pPr>
      <w:pBdr>
        <w:top w:val="single" w:sz="4" w:space="1" w:color="auto"/>
        <w:left w:val="single" w:sz="4" w:space="4" w:color="auto"/>
        <w:bottom w:val="single" w:sz="4" w:space="1" w:color="auto"/>
        <w:right w:val="single" w:sz="4" w:space="4" w:color="auto"/>
      </w:pBdr>
      <w:spacing w:line="220" w:lineRule="exact"/>
    </w:pPr>
    <w:rPr>
      <w:vanish/>
      <w:color w:val="008000"/>
      <w:sz w:val="16"/>
    </w:rPr>
  </w:style>
  <w:style w:type="paragraph" w:customStyle="1" w:styleId="Instructionsindent">
    <w:name w:val="Instructions indent"/>
    <w:rsid w:val="00BB3C2D"/>
    <w:pPr>
      <w:numPr>
        <w:numId w:val="1"/>
      </w:numPr>
      <w:pBdr>
        <w:top w:val="single" w:sz="4" w:space="1" w:color="auto"/>
        <w:left w:val="single" w:sz="4" w:space="4" w:color="auto"/>
        <w:bottom w:val="single" w:sz="4" w:space="1" w:color="auto"/>
        <w:right w:val="single" w:sz="4" w:space="4" w:color="auto"/>
      </w:pBdr>
      <w:tabs>
        <w:tab w:val="left" w:pos="357"/>
      </w:tabs>
      <w:spacing w:after="60" w:line="220" w:lineRule="exact"/>
      <w:ind w:left="357" w:hanging="357"/>
    </w:pPr>
    <w:rPr>
      <w:rFonts w:ascii="Arial" w:hAnsi="Arial"/>
      <w:vanish/>
      <w:color w:val="008000"/>
      <w:sz w:val="16"/>
      <w:szCs w:val="16"/>
      <w:lang w:eastAsia="en-US"/>
    </w:rPr>
  </w:style>
  <w:style w:type="table" w:customStyle="1" w:styleId="NATSPECTable">
    <w:name w:val="NATSPEC Table"/>
    <w:basedOn w:val="TableNormal"/>
    <w:rsid w:val="00BB3C2D"/>
    <w:rPr>
      <w:rFonts w:ascii="Arial Narrow" w:hAnsi="Arial Narro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40" w:type="dxa"/>
        <w:bottom w:w="28" w:type="dxa"/>
        <w:right w:w="40" w:type="dxa"/>
      </w:tblCellMar>
    </w:tblPr>
  </w:style>
  <w:style w:type="character" w:styleId="PageNumber">
    <w:name w:val="page number"/>
    <w:rsid w:val="00BB3C2D"/>
  </w:style>
  <w:style w:type="paragraph" w:customStyle="1" w:styleId="Tableindent2">
    <w:name w:val="Table indent 2"/>
    <w:rsid w:val="00BB3C2D"/>
    <w:pPr>
      <w:numPr>
        <w:numId w:val="7"/>
      </w:numPr>
      <w:tabs>
        <w:tab w:val="left" w:pos="284"/>
      </w:tabs>
    </w:pPr>
    <w:rPr>
      <w:rFonts w:ascii="Arial" w:hAnsi="Arial"/>
      <w:lang w:eastAsia="en-US"/>
    </w:rPr>
  </w:style>
  <w:style w:type="paragraph" w:styleId="TOC1">
    <w:name w:val="toc 1"/>
    <w:basedOn w:val="Normal"/>
    <w:next w:val="Normal"/>
    <w:autoRedefine/>
    <w:semiHidden/>
    <w:rsid w:val="00BB3C2D"/>
    <w:pPr>
      <w:tabs>
        <w:tab w:val="clear" w:pos="3969"/>
      </w:tabs>
    </w:pPr>
    <w:rPr>
      <w:b/>
    </w:rPr>
  </w:style>
  <w:style w:type="paragraph" w:styleId="TOC2">
    <w:name w:val="toc 2"/>
    <w:basedOn w:val="Normal"/>
    <w:next w:val="Normal"/>
    <w:autoRedefine/>
    <w:semiHidden/>
    <w:rsid w:val="00BB3C2D"/>
    <w:pPr>
      <w:tabs>
        <w:tab w:val="clear" w:pos="3969"/>
      </w:tabs>
      <w:ind w:left="200"/>
    </w:pPr>
    <w:rPr>
      <w:b/>
    </w:rPr>
  </w:style>
  <w:style w:type="paragraph" w:customStyle="1" w:styleId="Instructionsindent2">
    <w:name w:val="Instructions indent 2"/>
    <w:rsid w:val="00BB3C2D"/>
    <w:pPr>
      <w:pBdr>
        <w:top w:val="single" w:sz="4" w:space="1" w:color="auto"/>
        <w:left w:val="single" w:sz="4" w:space="4" w:color="auto"/>
        <w:bottom w:val="single" w:sz="4" w:space="1" w:color="auto"/>
        <w:right w:val="single" w:sz="4" w:space="4" w:color="auto"/>
      </w:pBdr>
      <w:tabs>
        <w:tab w:val="left" w:pos="357"/>
        <w:tab w:val="left" w:pos="714"/>
      </w:tabs>
      <w:spacing w:after="60" w:line="220" w:lineRule="exact"/>
      <w:ind w:left="714" w:hanging="714"/>
    </w:pPr>
    <w:rPr>
      <w:rFonts w:ascii="Arial" w:hAnsi="Arial"/>
      <w:vanish/>
      <w:color w:val="008000"/>
      <w:sz w:val="16"/>
      <w:szCs w:val="16"/>
      <w:lang w:eastAsia="en-US"/>
    </w:rPr>
  </w:style>
  <w:style w:type="paragraph" w:customStyle="1" w:styleId="Prompt">
    <w:name w:val="Prompt"/>
    <w:basedOn w:val="Normal"/>
    <w:link w:val="PromptChar"/>
    <w:rsid w:val="00BB3C2D"/>
    <w:rPr>
      <w:color w:val="993300"/>
    </w:rPr>
  </w:style>
  <w:style w:type="paragraph" w:customStyle="1" w:styleId="Promptindent">
    <w:name w:val="Prompt indent"/>
    <w:basedOn w:val="NormalIndent"/>
    <w:rsid w:val="00BB3C2D"/>
    <w:pPr>
      <w:numPr>
        <w:numId w:val="9"/>
      </w:numPr>
    </w:pPr>
    <w:rPr>
      <w:color w:val="993300"/>
    </w:rPr>
  </w:style>
  <w:style w:type="paragraph" w:customStyle="1" w:styleId="Promptindent2">
    <w:name w:val="Prompt indent 2"/>
    <w:basedOn w:val="NormalIndent2"/>
    <w:rsid w:val="00BB3C2D"/>
    <w:pPr>
      <w:numPr>
        <w:numId w:val="10"/>
      </w:numPr>
    </w:pPr>
    <w:rPr>
      <w:color w:val="993300"/>
    </w:rPr>
  </w:style>
  <w:style w:type="paragraph" w:customStyle="1" w:styleId="Standard1">
    <w:name w:val="Standard 1"/>
    <w:rsid w:val="00BB3C2D"/>
    <w:pPr>
      <w:pBdr>
        <w:top w:val="single" w:sz="4" w:space="1" w:color="auto"/>
        <w:left w:val="single" w:sz="4" w:space="4" w:color="auto"/>
        <w:bottom w:val="single" w:sz="4" w:space="1" w:color="auto"/>
        <w:right w:val="single" w:sz="4" w:space="4" w:color="auto"/>
      </w:pBdr>
      <w:tabs>
        <w:tab w:val="left" w:pos="1985"/>
        <w:tab w:val="left" w:pos="2835"/>
      </w:tabs>
      <w:ind w:left="2835" w:hanging="2835"/>
    </w:pPr>
    <w:rPr>
      <w:rFonts w:ascii="Arial" w:hAnsi="Arial"/>
      <w:vanish/>
      <w:color w:val="008000"/>
      <w:sz w:val="16"/>
      <w:szCs w:val="16"/>
      <w:lang w:eastAsia="en-US"/>
    </w:rPr>
  </w:style>
  <w:style w:type="paragraph" w:customStyle="1" w:styleId="Standard2">
    <w:name w:val="Standard 2"/>
    <w:basedOn w:val="Standard1"/>
    <w:rsid w:val="00BB3C2D"/>
    <w:pPr>
      <w:tabs>
        <w:tab w:val="clear" w:pos="2835"/>
        <w:tab w:val="left" w:pos="3119"/>
      </w:tabs>
      <w:ind w:left="3119" w:hanging="3119"/>
    </w:pPr>
  </w:style>
  <w:style w:type="paragraph" w:customStyle="1" w:styleId="OptionalHeading3">
    <w:name w:val="Optional Heading 3"/>
    <w:basedOn w:val="Heading3"/>
    <w:qFormat/>
    <w:rsid w:val="00BB3C2D"/>
    <w:pPr>
      <w:numPr>
        <w:ilvl w:val="0"/>
        <w:numId w:val="0"/>
      </w:numPr>
      <w:shd w:val="clear" w:color="auto" w:fill="D9D9D9"/>
    </w:pPr>
    <w:rPr>
      <w:rFonts w:ascii="Calibri" w:hAnsi="Calibri"/>
      <w:vanish/>
      <w:color w:val="365F91"/>
    </w:rPr>
  </w:style>
  <w:style w:type="paragraph" w:customStyle="1" w:styleId="OptionalHeading4">
    <w:name w:val="Optional Heading 4"/>
    <w:basedOn w:val="Heading4"/>
    <w:qFormat/>
    <w:rsid w:val="00BB3C2D"/>
    <w:pPr>
      <w:shd w:val="clear" w:color="auto" w:fill="D9D9D9"/>
    </w:pPr>
    <w:rPr>
      <w:rFonts w:ascii="Calibri" w:hAnsi="Calibri"/>
      <w:vanish/>
      <w:color w:val="365F91"/>
    </w:rPr>
  </w:style>
  <w:style w:type="paragraph" w:customStyle="1" w:styleId="OptionalNormal">
    <w:name w:val="Optional Normal"/>
    <w:basedOn w:val="Normal"/>
    <w:qFormat/>
    <w:rsid w:val="00BB3C2D"/>
    <w:pPr>
      <w:shd w:val="clear" w:color="auto" w:fill="D9D9D9"/>
    </w:pPr>
    <w:rPr>
      <w:rFonts w:ascii="Calibri" w:hAnsi="Calibri"/>
      <w:vanish/>
      <w:color w:val="365F91"/>
    </w:rPr>
  </w:style>
  <w:style w:type="paragraph" w:customStyle="1" w:styleId="OptionalNormalIndent">
    <w:name w:val="Optional Normal Indent"/>
    <w:rsid w:val="00BB3C2D"/>
    <w:pPr>
      <w:numPr>
        <w:numId w:val="24"/>
      </w:numPr>
      <w:shd w:val="clear" w:color="auto" w:fill="D9D9D9"/>
      <w:tabs>
        <w:tab w:val="left" w:pos="210"/>
      </w:tabs>
      <w:spacing w:after="60"/>
    </w:pPr>
    <w:rPr>
      <w:rFonts w:ascii="Calibri" w:hAnsi="Calibri"/>
      <w:vanish/>
      <w:color w:val="365F91"/>
      <w:lang w:eastAsia="en-US"/>
    </w:rPr>
  </w:style>
  <w:style w:type="paragraph" w:customStyle="1" w:styleId="OptionalTabletext">
    <w:name w:val="Optional Table text"/>
    <w:basedOn w:val="Tabletext"/>
    <w:qFormat/>
    <w:rsid w:val="00BB3C2D"/>
    <w:pPr>
      <w:shd w:val="clear" w:color="auto" w:fill="D9D9D9"/>
    </w:pPr>
    <w:rPr>
      <w:rFonts w:ascii="Calibri" w:hAnsi="Calibri"/>
      <w:vanish/>
      <w:color w:val="365F91"/>
    </w:rPr>
  </w:style>
  <w:style w:type="paragraph" w:customStyle="1" w:styleId="OptionalTabletitle">
    <w:name w:val="Optional Table title"/>
    <w:basedOn w:val="Tabletitle"/>
    <w:qFormat/>
    <w:rsid w:val="00BB3C2D"/>
    <w:pPr>
      <w:shd w:val="clear" w:color="auto" w:fill="D9D9D9"/>
    </w:pPr>
    <w:rPr>
      <w:rFonts w:ascii="Calibri" w:hAnsi="Calibri"/>
      <w:vanish/>
      <w:color w:val="365F91"/>
    </w:rPr>
  </w:style>
  <w:style w:type="paragraph" w:customStyle="1" w:styleId="OptionalPromptindent">
    <w:name w:val="Optional Prompt indent"/>
    <w:basedOn w:val="Promptindent"/>
    <w:rsid w:val="00BB3C2D"/>
    <w:pPr>
      <w:numPr>
        <w:numId w:val="0"/>
      </w:numPr>
      <w:shd w:val="clear" w:color="auto" w:fill="D9D9D9"/>
    </w:pPr>
    <w:rPr>
      <w:rFonts w:ascii="Calibri" w:hAnsi="Calibri"/>
      <w:vanish/>
      <w:color w:val="17365D"/>
    </w:rPr>
  </w:style>
  <w:style w:type="paragraph" w:customStyle="1" w:styleId="OptionalNormalIndent2">
    <w:name w:val="Optional Normal Indent 2"/>
    <w:basedOn w:val="NormalIndent2"/>
    <w:qFormat/>
    <w:rsid w:val="00BB3C2D"/>
    <w:pPr>
      <w:numPr>
        <w:numId w:val="0"/>
      </w:numPr>
      <w:shd w:val="clear" w:color="auto" w:fill="D9D9D9"/>
      <w:tabs>
        <w:tab w:val="clear" w:pos="3969"/>
        <w:tab w:val="left" w:pos="210"/>
      </w:tabs>
    </w:pPr>
    <w:rPr>
      <w:rFonts w:ascii="Calibri" w:hAnsi="Calibri"/>
      <w:vanish/>
      <w:color w:val="365F95"/>
      <w:shd w:val="pct15" w:color="auto" w:fill="FFFFFF"/>
    </w:rPr>
  </w:style>
  <w:style w:type="paragraph" w:customStyle="1" w:styleId="InstructionsHeading4">
    <w:name w:val="Instructions Heading 4"/>
    <w:basedOn w:val="Instructions"/>
    <w:next w:val="Instructions"/>
    <w:qFormat/>
    <w:rsid w:val="005C3403"/>
    <w:rPr>
      <w:b/>
    </w:rPr>
  </w:style>
  <w:style w:type="character" w:customStyle="1" w:styleId="PromptChar">
    <w:name w:val="Prompt Char"/>
    <w:link w:val="Prompt"/>
    <w:rsid w:val="00B87EA6"/>
    <w:rPr>
      <w:rFonts w:ascii="Arial" w:hAnsi="Arial"/>
      <w:color w:val="993300"/>
      <w:lang w:eastAsia="en-US"/>
    </w:rPr>
  </w:style>
  <w:style w:type="character" w:styleId="PlaceholderText">
    <w:name w:val="Placeholder Text"/>
    <w:basedOn w:val="DefaultParagraphFont"/>
    <w:uiPriority w:val="99"/>
    <w:semiHidden/>
    <w:rsid w:val="000D2155"/>
    <w:rPr>
      <w:color w:val="808080"/>
    </w:rPr>
  </w:style>
  <w:style w:type="paragraph" w:styleId="BalloonText">
    <w:name w:val="Balloon Text"/>
    <w:basedOn w:val="Normal"/>
    <w:link w:val="BalloonTextChar"/>
    <w:rsid w:val="000D2155"/>
    <w:pPr>
      <w:spacing w:after="0"/>
    </w:pPr>
    <w:rPr>
      <w:rFonts w:ascii="Tahoma" w:hAnsi="Tahoma" w:cs="Tahoma"/>
      <w:sz w:val="16"/>
      <w:szCs w:val="16"/>
    </w:rPr>
  </w:style>
  <w:style w:type="character" w:customStyle="1" w:styleId="BalloonTextChar">
    <w:name w:val="Balloon Text Char"/>
    <w:basedOn w:val="DefaultParagraphFont"/>
    <w:link w:val="BalloonText"/>
    <w:rsid w:val="000D2155"/>
    <w:rPr>
      <w:rFonts w:ascii="Tahoma" w:eastAsiaTheme="minorHAnsi" w:hAnsi="Tahoma" w:cs="Tahoma"/>
      <w:sz w:val="16"/>
      <w:szCs w:val="16"/>
      <w:lang w:eastAsia="en-US"/>
    </w:rPr>
  </w:style>
  <w:style w:type="table" w:customStyle="1" w:styleId="Table-Item">
    <w:name w:val="Table-Item"/>
    <w:uiPriority w:val="99"/>
    <w:rsid w:val="006A05B6"/>
    <w:rPr>
      <w:rFonts w:asciiTheme="minorHAnsi" w:eastAsiaTheme="minorEastAsia" w:hAnsiTheme="minorHAnsi" w:cstheme="minorBidi"/>
      <w:lang w:eastAsia="zh-CN"/>
    </w:rPr>
    <w:tblPr>
      <w:tblInd w:w="0" w:type="dxa"/>
      <w:tblCellMar>
        <w:top w:w="0" w:type="dxa"/>
        <w:left w:w="108" w:type="dxa"/>
        <w:bottom w:w="0" w:type="dxa"/>
        <w:right w:w="108" w:type="dxa"/>
      </w:tblCellMar>
    </w:tblPr>
    <w:tblStylePr w:type="firstRow">
      <w:tblPr/>
      <w:tcPr>
        <w:shd w:val="clear" w:color="auto" w:fill="D9D9D9" w:themeFill="background1" w:themeFillShade="D9"/>
      </w:tcPr>
    </w:tblStylePr>
    <w:tblStylePr w:type="nwCell">
      <w:tblPr/>
      <w:tcPr>
        <w:tcBorders>
          <w:top w:val="nil"/>
          <w:left w:val="nil"/>
          <w:bottom w:val="nil"/>
          <w:right w:val="nil"/>
          <w:insideH w:val="nil"/>
          <w:insideV w:val="nil"/>
          <w:tl2br w:val="nil"/>
          <w:tr2bl w:val="nil"/>
        </w:tcBorders>
      </w:tcPr>
    </w:tblStylePr>
  </w:style>
  <w:style w:type="table" w:customStyle="1" w:styleId="lightgrey">
    <w:name w:val="light grey"/>
    <w:basedOn w:val="LightShading"/>
    <w:uiPriority w:val="99"/>
    <w:rsid w:val="006A05B6"/>
    <w:rPr>
      <w:lang w:val="en-US"/>
    </w:rP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
    <w:name w:val="Light Shading"/>
    <w:basedOn w:val="TableNormal"/>
    <w:uiPriority w:val="60"/>
    <w:rsid w:val="006A05B6"/>
    <w:rPr>
      <w:rFonts w:asciiTheme="minorHAnsi" w:eastAsiaTheme="minorHAnsi" w:hAnsiTheme="minorHAnsi" w:cstheme="minorBid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tableYellow">
    <w:name w:val="tableYellow"/>
    <w:basedOn w:val="TableNormal"/>
    <w:uiPriority w:val="99"/>
    <w:rsid w:val="006A05B6"/>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FFFF99"/>
    </w:tcPr>
    <w:tblStylePr w:type="firstRow">
      <w:tblPr/>
      <w:tcPr>
        <w:shd w:val="clear" w:color="auto" w:fill="FFCC00"/>
      </w:tcPr>
    </w:tblStylePr>
  </w:style>
  <w:style w:type="table" w:customStyle="1" w:styleId="olasummarytable">
    <w:name w:val="ola_summary_table"/>
    <w:basedOn w:val="TableNormal"/>
    <w:uiPriority w:val="99"/>
    <w:rsid w:val="006A05B6"/>
    <w:rPr>
      <w:rFonts w:asciiTheme="minorHAnsi" w:eastAsiaTheme="minorHAnsi" w:hAnsiTheme="minorHAnsi" w:cstheme="minorBidi"/>
      <w:sz w:val="22"/>
      <w:szCs w:val="22"/>
      <w:lang w:eastAsia="en-US"/>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tcPr>
      <w:shd w:val="clear" w:color="auto" w:fill="9CE1F7"/>
    </w:tcPr>
  </w:style>
  <w:style w:type="paragraph" w:customStyle="1" w:styleId="ScheduleL2">
    <w:name w:val="Schedule L2"/>
    <w:basedOn w:val="Normal"/>
    <w:next w:val="Normal"/>
    <w:rsid w:val="006A05B6"/>
    <w:pPr>
      <w:keepNext/>
      <w:numPr>
        <w:ilvl w:val="1"/>
        <w:numId w:val="36"/>
      </w:numPr>
      <w:spacing w:before="280" w:after="140" w:line="280" w:lineRule="atLeast"/>
      <w:outlineLvl w:val="1"/>
    </w:pPr>
    <w:rPr>
      <w:spacing w:val="-10"/>
      <w:w w:val="95"/>
      <w:sz w:val="32"/>
      <w:lang w:eastAsia="zh-CN"/>
    </w:rPr>
  </w:style>
  <w:style w:type="numbering" w:customStyle="1" w:styleId="Clause">
    <w:name w:val="Clause"/>
    <w:uiPriority w:val="99"/>
    <w:rsid w:val="006A05B6"/>
    <w:pPr>
      <w:numPr>
        <w:numId w:val="34"/>
      </w:numPr>
    </w:pPr>
  </w:style>
  <w:style w:type="paragraph" w:customStyle="1" w:styleId="DefinitionL1">
    <w:name w:val="Definition L1"/>
    <w:basedOn w:val="Normal"/>
    <w:next w:val="Normal"/>
    <w:rsid w:val="006A05B6"/>
    <w:pPr>
      <w:numPr>
        <w:numId w:val="35"/>
      </w:numPr>
      <w:spacing w:after="140" w:line="280" w:lineRule="atLeast"/>
      <w:outlineLvl w:val="0"/>
    </w:pPr>
    <w:rPr>
      <w:rFonts w:ascii="Times New Roman" w:hAnsi="Times New Roman"/>
      <w:lang w:eastAsia="zh-CN"/>
    </w:rPr>
  </w:style>
  <w:style w:type="paragraph" w:customStyle="1" w:styleId="DefinitionL2">
    <w:name w:val="Definition L2"/>
    <w:basedOn w:val="Normal"/>
    <w:next w:val="Normal"/>
    <w:rsid w:val="006A05B6"/>
    <w:pPr>
      <w:numPr>
        <w:ilvl w:val="1"/>
        <w:numId w:val="35"/>
      </w:numPr>
      <w:spacing w:after="140" w:line="280" w:lineRule="atLeast"/>
      <w:outlineLvl w:val="1"/>
    </w:pPr>
    <w:rPr>
      <w:rFonts w:ascii="Times New Roman" w:hAnsi="Times New Roman"/>
      <w:lang w:eastAsia="zh-CN"/>
    </w:rPr>
  </w:style>
  <w:style w:type="paragraph" w:customStyle="1" w:styleId="DefinitionL3">
    <w:name w:val="Definition L3"/>
    <w:basedOn w:val="Normal"/>
    <w:next w:val="Normal"/>
    <w:rsid w:val="006A05B6"/>
    <w:pPr>
      <w:numPr>
        <w:ilvl w:val="2"/>
        <w:numId w:val="35"/>
      </w:numPr>
      <w:spacing w:after="140" w:line="280" w:lineRule="atLeast"/>
      <w:outlineLvl w:val="2"/>
    </w:pPr>
    <w:rPr>
      <w:rFonts w:ascii="Times New Roman" w:hAnsi="Times New Roman"/>
      <w:lang w:eastAsia="zh-CN"/>
    </w:rPr>
  </w:style>
  <w:style w:type="paragraph" w:customStyle="1" w:styleId="DefinitionL4">
    <w:name w:val="Definition L4"/>
    <w:basedOn w:val="Normal"/>
    <w:next w:val="Normal"/>
    <w:rsid w:val="006A05B6"/>
    <w:pPr>
      <w:numPr>
        <w:ilvl w:val="3"/>
        <w:numId w:val="35"/>
      </w:numPr>
      <w:spacing w:after="140" w:line="280" w:lineRule="atLeast"/>
      <w:outlineLvl w:val="3"/>
    </w:pPr>
    <w:rPr>
      <w:rFonts w:ascii="Times New Roman" w:hAnsi="Times New Roman"/>
      <w:lang w:eastAsia="zh-CN"/>
    </w:rPr>
  </w:style>
  <w:style w:type="numbering" w:customStyle="1" w:styleId="Schedule">
    <w:name w:val="Schedule"/>
    <w:uiPriority w:val="99"/>
    <w:rsid w:val="006A05B6"/>
    <w:pPr>
      <w:numPr>
        <w:numId w:val="36"/>
      </w:numPr>
    </w:pPr>
  </w:style>
  <w:style w:type="numbering" w:customStyle="1" w:styleId="Warranty">
    <w:name w:val="Warranty"/>
    <w:uiPriority w:val="99"/>
    <w:rsid w:val="006A05B6"/>
    <w:pPr>
      <w:numPr>
        <w:numId w:val="37"/>
      </w:numPr>
    </w:pPr>
  </w:style>
  <w:style w:type="numbering" w:customStyle="1" w:styleId="headinglist">
    <w:name w:val="heading list"/>
    <w:uiPriority w:val="99"/>
    <w:rsid w:val="006A05B6"/>
    <w:pPr>
      <w:numPr>
        <w:numId w:val="38"/>
      </w:numPr>
    </w:pPr>
  </w:style>
  <w:style w:type="numbering" w:customStyle="1" w:styleId="indexlist">
    <w:name w:val="index list"/>
    <w:uiPriority w:val="99"/>
    <w:rsid w:val="006A05B6"/>
    <w:pPr>
      <w:numPr>
        <w:numId w:val="39"/>
      </w:numPr>
    </w:pPr>
  </w:style>
  <w:style w:type="numbering" w:customStyle="1" w:styleId="unumberedlist">
    <w:name w:val="unumbered list"/>
    <w:uiPriority w:val="99"/>
    <w:rsid w:val="006A05B6"/>
    <w:pPr>
      <w:numPr>
        <w:numId w:val="40"/>
      </w:numPr>
    </w:pPr>
  </w:style>
  <w:style w:type="character" w:customStyle="1" w:styleId="delete">
    <w:name w:val="delete"/>
    <w:basedOn w:val="DefaultParagraphFont"/>
    <w:uiPriority w:val="1"/>
    <w:qFormat/>
    <w:rsid w:val="004463CE"/>
    <w:rPr>
      <w:bdr w:val="none" w:sz="0" w:space="0" w:color="auto"/>
      <w:shd w:val="clear" w:color="auto" w:fill="FFFF00"/>
    </w:rPr>
  </w:style>
  <w:style w:type="character" w:customStyle="1" w:styleId="insert">
    <w:name w:val="insert"/>
    <w:basedOn w:val="DefaultParagraphFont"/>
    <w:uiPriority w:val="1"/>
    <w:qFormat/>
    <w:rsid w:val="004463CE"/>
    <w:rPr>
      <w:bdr w:val="none" w:sz="0" w:space="0" w:color="auto"/>
      <w:shd w:val="clear" w:color="auto" w:fill="FFFF00"/>
    </w:rPr>
  </w:style>
  <w:style w:type="table" w:styleId="TableGrid">
    <w:name w:val="Table Grid"/>
    <w:basedOn w:val="TableNormal"/>
    <w:rsid w:val="00367FD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Emptytable">
    <w:name w:val="Empty table"/>
    <w:basedOn w:val="TableNormal"/>
    <w:uiPriority w:val="99"/>
    <w:rsid w:val="00AD0420"/>
    <w:tblPr/>
  </w:style>
  <w:style w:type="paragraph" w:customStyle="1" w:styleId="TableStart">
    <w:name w:val="Table Start"/>
    <w:basedOn w:val="Normal"/>
    <w:qFormat/>
    <w:rsid w:val="00E60190"/>
  </w:style>
  <w:style w:type="paragraph" w:customStyle="1" w:styleId="TableEnd">
    <w:name w:val="Table End"/>
    <w:basedOn w:val="Normal"/>
    <w:qFormat/>
    <w:rsid w:val="00E60190"/>
  </w:style>
  <w:style w:type="paragraph" w:customStyle="1" w:styleId="AUSStandard1">
    <w:name w:val="AUS Standard 1"/>
    <w:basedOn w:val="Standard1"/>
    <w:rsid w:val="00BB3C2D"/>
    <w:pPr>
      <w:pBdr>
        <w:top w:val="none" w:sz="0" w:space="0" w:color="auto"/>
        <w:left w:val="none" w:sz="0" w:space="0" w:color="auto"/>
        <w:bottom w:val="none" w:sz="0" w:space="0" w:color="auto"/>
        <w:right w:val="none" w:sz="0" w:space="0" w:color="auto"/>
      </w:pBdr>
      <w:tabs>
        <w:tab w:val="clear" w:pos="1985"/>
        <w:tab w:val="clear" w:pos="2835"/>
        <w:tab w:val="left" w:pos="2552"/>
        <w:tab w:val="left" w:pos="3402"/>
      </w:tabs>
      <w:ind w:left="3402" w:hanging="3402"/>
    </w:pPr>
    <w:rPr>
      <w:vanish w:val="0"/>
      <w:color w:val="auto"/>
      <w:sz w:val="20"/>
    </w:rPr>
  </w:style>
  <w:style w:type="paragraph" w:customStyle="1" w:styleId="AUSStandard2">
    <w:name w:val="AUS Standard 2"/>
    <w:basedOn w:val="Standard2"/>
    <w:rsid w:val="00BB3C2D"/>
    <w:pPr>
      <w:pBdr>
        <w:top w:val="none" w:sz="0" w:space="0" w:color="auto"/>
        <w:left w:val="none" w:sz="0" w:space="0" w:color="auto"/>
        <w:bottom w:val="none" w:sz="0" w:space="0" w:color="auto"/>
        <w:right w:val="none" w:sz="0" w:space="0" w:color="auto"/>
      </w:pBdr>
      <w:tabs>
        <w:tab w:val="clear" w:pos="1985"/>
        <w:tab w:val="clear" w:pos="3119"/>
        <w:tab w:val="left" w:pos="2552"/>
        <w:tab w:val="left" w:pos="3686"/>
      </w:tabs>
      <w:ind w:left="3686" w:hanging="3686"/>
    </w:pPr>
    <w:rPr>
      <w:vanish w:val="0"/>
      <w:color w:val="auto"/>
      <w:sz w:val="20"/>
    </w:rPr>
  </w:style>
  <w:style w:type="paragraph" w:customStyle="1" w:styleId="External">
    <w:name w:val="External"/>
    <w:basedOn w:val="Normal"/>
    <w:qFormat/>
    <w:rsid w:val="008D68B9"/>
    <w:pPr>
      <w:shd w:val="clear" w:color="auto" w:fill="E5DFEC"/>
    </w:pPr>
    <w:rPr>
      <w:rFonts w:ascii="Cambria" w:hAnsi="Cambria"/>
      <w:color w:val="5F497A"/>
    </w:rPr>
  </w:style>
  <w:style w:type="paragraph" w:customStyle="1" w:styleId="Externalguidance">
    <w:name w:val="External guidance"/>
    <w:basedOn w:val="External"/>
    <w:qFormat/>
    <w:rsid w:val="008D68B9"/>
    <w:pPr>
      <w:pBdr>
        <w:top w:val="single" w:sz="4" w:space="1" w:color="auto"/>
        <w:left w:val="single" w:sz="4" w:space="4" w:color="auto"/>
        <w:bottom w:val="single" w:sz="4" w:space="1" w:color="auto"/>
        <w:right w:val="single" w:sz="4" w:space="4" w:color="auto"/>
      </w:pBdr>
    </w:pPr>
  </w:style>
  <w:style w:type="paragraph" w:customStyle="1" w:styleId="Externalheading4">
    <w:name w:val="External heading 4"/>
    <w:basedOn w:val="External"/>
    <w:qFormat/>
    <w:rsid w:val="008D68B9"/>
    <w:rPr>
      <w:b/>
      <w:bCs/>
    </w:rPr>
  </w:style>
  <w:style w:type="paragraph" w:customStyle="1" w:styleId="Externalindent">
    <w:name w:val="External indent"/>
    <w:basedOn w:val="External"/>
    <w:qFormat/>
    <w:rsid w:val="008D68B9"/>
    <w:pPr>
      <w:numPr>
        <w:numId w:val="41"/>
      </w:numPr>
    </w:pPr>
  </w:style>
  <w:style w:type="paragraph" w:customStyle="1" w:styleId="Externalindent2">
    <w:name w:val="External indent 2"/>
    <w:basedOn w:val="Externalindent"/>
    <w:qFormat/>
    <w:rsid w:val="00147FF6"/>
    <w:pPr>
      <w:ind w:left="641" w:hanging="357"/>
    </w:pPr>
  </w:style>
  <w:style w:type="paragraph" w:customStyle="1" w:styleId="Externalpromptindent">
    <w:name w:val="External prompt indent"/>
    <w:basedOn w:val="Promptindent"/>
    <w:qFormat/>
    <w:rsid w:val="003806E9"/>
    <w:pPr>
      <w:shd w:val="clear" w:color="auto" w:fill="E5DFEC" w:themeFill="accent4" w:themeFillTint="33"/>
    </w:pPr>
    <w:rPr>
      <w:color w:val="5F497A" w:themeColor="accent4" w:themeShade="BF"/>
    </w:rPr>
  </w:style>
  <w:style w:type="paragraph" w:customStyle="1" w:styleId="Externalprompt">
    <w:name w:val="External prompt"/>
    <w:basedOn w:val="Prompt"/>
    <w:link w:val="ExternalpromptChar"/>
    <w:qFormat/>
    <w:rsid w:val="003806E9"/>
    <w:pPr>
      <w:shd w:val="clear" w:color="auto" w:fill="E5DFEC" w:themeFill="accent4" w:themeFillTint="33"/>
    </w:pPr>
    <w:rPr>
      <w:color w:val="5F497A" w:themeColor="accent4" w:themeShade="BF"/>
    </w:rPr>
  </w:style>
  <w:style w:type="character" w:customStyle="1" w:styleId="ExternalpromptChar">
    <w:name w:val="External prompt Char"/>
    <w:basedOn w:val="PromptChar"/>
    <w:link w:val="Externalprompt"/>
    <w:rsid w:val="003806E9"/>
    <w:rPr>
      <w:rFonts w:ascii="Arial" w:hAnsi="Arial"/>
      <w:color w:val="5F497A" w:themeColor="accent4" w:themeShade="BF"/>
      <w:shd w:val="clear" w:color="auto" w:fill="E5DFEC" w:themeFill="accent4" w:themeFillTint="33"/>
      <w:lang w:eastAsia="en-US"/>
    </w:rPr>
  </w:style>
  <w:style w:type="paragraph" w:customStyle="1" w:styleId="Externalpromptindent2">
    <w:name w:val="External prompt indent 2"/>
    <w:basedOn w:val="Promptindent2"/>
    <w:qFormat/>
    <w:rsid w:val="003806E9"/>
    <w:pPr>
      <w:shd w:val="clear" w:color="auto" w:fill="E5DFEC" w:themeFill="accent4" w:themeFillTint="33"/>
    </w:pPr>
    <w:rPr>
      <w:color w:val="5F497A" w:themeColor="accent4" w:themeShade="BF"/>
    </w:rPr>
  </w:style>
  <w:style w:type="character" w:styleId="ps_inl_NSPrompt">
    <w:name w:val="ps_inl_NSPrompt"/>
    <w:basedOn w:val="Normal"/>
    <w:rPr>
      <w:bdr w:val="single" w:sz="4" w:space="0" w:color="D99594" w:themeColor="accent2" w:themeTint="99"/>
    </w:rPr>
  </w:style>
  <w:style w:type="character" w:styleId="ps_inl_NStab">
    <w:name w:val="ps_inl_NStab"/>
    <w:basedOn w:val="Normal"/>
    <w:rPr>
      <w:bdr w:val="single" w:sz="4" w:space="0" w:color="D99594" w:themeColor="accent2" w:themeTint="99"/>
    </w:rPr>
  </w:style>
  <w:style w:type="paragraph" w:styleId="ps_blk_reference">
    <w:name w:val="ps_blk_reference"/>
    <w:basedOn w:val="Normal"/>
    <w:pPr>
      <w:pBdr>
        <w:top w:val="single" w:sz="4" w:space="1" w:color="8DB3E2" w:themeColor="text2" w:themeTint="66"/>
        <w:left w:val="single" w:sz="4" w:space="4" w:color="8DB3E2" w:themeColor="text2" w:themeTint="66"/>
        <w:bottom w:val="single" w:sz="4" w:space="1" w:color="8DB3E2" w:themeColor="text2" w:themeTint="66"/>
        <w:right w:val="single" w:sz="4" w:space="4" w:color="8DB3E2" w:themeColor="text2" w:themeTint="66"/>
      </w:pBd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18" Type="http://schemas.openxmlformats.org/officeDocument/2006/relationships/customXml" Target="../customXml/item3.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customXml" Target="../customXml/item2.xml"/><Relationship Id="rId2" Type="http://schemas.openxmlformats.org/officeDocument/2006/relationships/styles" Target="styles.xml"/><Relationship Id="rId16" Type="http://schemas.openxmlformats.org/officeDocument/2006/relationships/customXml" Target="../customXml/item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glossaryDocument" Target="glossary/document.xml"/></Relationships>
</file>

<file path=word/_rels/settings.xml.rels><?xml version="1.0" encoding="UTF-8" standalone="yes"?><Relationships xmlns="http://schemas.openxmlformats.org/package/2006/relationships"><Relationship Id="rId1" Type="http://schemas.openxmlformats.org/officeDocument/2006/relationships/attachedTemplate" Target="file:///C:\Users\adrian\Downloads\natspec.dotm"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oel="http://schemas.microsoft.com/office/2019/extlst"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sdtdh="http://schemas.microsoft.com/office/word/2020/wordml/sdtdatahash"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16cid w16 w16cex w16sdtdh wp14">
  <w:docParts>
    <w:docPart>
      <w:docPartPr>
        <w:name w:val="31BECDE4F6EA497FB26583C3D3546F63"/>
        <w:category>
          <w:name w:val="General"/>
          <w:gallery w:val="placeholder"/>
        </w:category>
        <w:types>
          <w:type w:val="bbPlcHdr"/>
        </w:types>
        <w:behaviors>
          <w:behavior w:val="content"/>
        </w:behaviors>
        <w:guid w:val="{54F6FF40-1C9E-429A-BEED-B72786BB63DF}"/>
      </w:docPartPr>
      <w:docPartBody>
        <w:p w:rsidR="00E862B3" w:rsidRDefault="00925E69">
          <w:r w:rsidRPr="00D90C48">
            <w:rPr>
              <w:rStyle w:val="PlaceholderText"/>
            </w:rPr>
            <w:t>[Category]</w:t>
          </w:r>
        </w:p>
      </w:docPartBody>
    </w:docPart>
    <w:docPart>
      <w:docPartPr>
        <w:name w:val="51F9EEBBD2D0489D9B33E0E90B72CD55"/>
        <w:category>
          <w:name w:val="General"/>
          <w:gallery w:val="placeholder"/>
        </w:category>
        <w:types>
          <w:type w:val="bbPlcHdr"/>
        </w:types>
        <w:behaviors>
          <w:behavior w:val="content"/>
        </w:behaviors>
        <w:guid w:val="{DF21B762-E6BE-47A5-802E-C31FB5007A76}"/>
      </w:docPartPr>
      <w:docPartBody>
        <w:p w:rsidR="00B35BAE" w:rsidRDefault="00025310">
          <w:r w:rsidRPr="00B64533">
            <w:rPr>
              <w:rStyle w:val="PlaceholderText"/>
            </w:rPr>
            <w:t>[Subject]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http://schemas.openxmlformats.org/officeDocument/2006/math" xmlns:mc="http://schemas.openxmlformats.org/markup-compatibility/2006"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sdtdh="http://schemas.microsoft.com/office/word/2020/wordml/sdtdatahash" xmlns:w16se="http://schemas.microsoft.com/office/word/2015/wordml/symex" mc:Ignorable="w14 w15 w16se w16cid w16 w16cex w16sdtdh">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25E69"/>
    <w:rsid w:val="00025310"/>
    <w:rsid w:val="000960B6"/>
    <w:rsid w:val="002376A7"/>
    <w:rsid w:val="00323590"/>
    <w:rsid w:val="004744FA"/>
    <w:rsid w:val="0050677F"/>
    <w:rsid w:val="005D61DE"/>
    <w:rsid w:val="00612502"/>
    <w:rsid w:val="00634E37"/>
    <w:rsid w:val="006F45E4"/>
    <w:rsid w:val="00852C26"/>
    <w:rsid w:val="008E193B"/>
    <w:rsid w:val="00925E69"/>
    <w:rsid w:val="00933870"/>
    <w:rsid w:val="00971462"/>
    <w:rsid w:val="00A7620C"/>
    <w:rsid w:val="00B35BAE"/>
    <w:rsid w:val="00C21B33"/>
    <w:rsid w:val="00C2262B"/>
    <w:rsid w:val="00C643B6"/>
    <w:rsid w:val="00C77804"/>
    <w:rsid w:val="00CA2380"/>
    <w:rsid w:val="00DB145A"/>
    <w:rsid w:val="00E862B3"/>
    <w:rsid w:val="00F55D83"/>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AU" w:eastAsia="en-A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25E69"/>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25310"/>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834E7705AF8E94C9F27494AF2908D16" ma:contentTypeVersion="13" ma:contentTypeDescription="Create a new document." ma:contentTypeScope="" ma:versionID="c594ac9c6b92f8b26f7edb1723c40115">
  <xsd:schema xmlns:xsd="http://www.w3.org/2001/XMLSchema" xmlns:xs="http://www.w3.org/2001/XMLSchema" xmlns:p="http://schemas.microsoft.com/office/2006/metadata/properties" xmlns:ns2="de773634-718a-4844-aab4-533a91d507cc" xmlns:ns3="0ff0ab3b-65a4-414a-a24f-e750f80b11d6" targetNamespace="http://schemas.microsoft.com/office/2006/metadata/properties" ma:root="true" ma:fieldsID="24b139a6f17bd7ecd884fb09d01fb2f5" ns2:_="" ns3:_="">
    <xsd:import namespace="de773634-718a-4844-aab4-533a91d507cc"/>
    <xsd:import namespace="0ff0ab3b-65a4-414a-a24f-e750f80b11d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MediaServiceLocation" minOccurs="0"/>
                <xsd:element ref="ns2:lcf76f155ced4ddcb4097134ff3c332f" minOccurs="0"/>
                <xsd:element ref="ns3:TaxCatchAll"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e773634-718a-4844-aab4-533a91d507c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Location" ma:index="15" nillable="true" ma:displayName="Location" ma:indexed="true" ma:internalName="MediaServiceLocation"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99c6b369-67d4-4673-ad2b-fd6a8b2737b7"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BillingMetadata" ma:index="2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ff0ab3b-65a4-414a-a24f-e750f80b11d6"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23f1b8d2-814c-4cd6-823c-66c86a919cc8}" ma:internalName="TaxCatchAll" ma:showField="CatchAllData" ma:web="0ff0ab3b-65a4-414a-a24f-e750f80b11d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0ff0ab3b-65a4-414a-a24f-e750f80b11d6" xsi:nil="true"/>
    <lcf76f155ced4ddcb4097134ff3c332f xmlns="de773634-718a-4844-aab4-533a91d507c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AEEA9B0-F6EB-4801-9314-2993B1981B16}"/>
</file>

<file path=customXml/itemProps2.xml><?xml version="1.0" encoding="utf-8"?>
<ds:datastoreItem xmlns:ds="http://schemas.openxmlformats.org/officeDocument/2006/customXml" ds:itemID="{51BF405C-B1AE-4602-99A3-6BB7113373E8}"/>
</file>

<file path=customXml/itemProps3.xml><?xml version="1.0" encoding="utf-8"?>
<ds:datastoreItem xmlns:ds="http://schemas.openxmlformats.org/officeDocument/2006/customXml" ds:itemID="{50A4E8DF-4FDA-482C-BB9E-AF512EF4239E}"/>
</file>

<file path=docProps/app.xml><?xml version="1.0" encoding="utf-8"?>
<Properties xmlns="http://schemas.openxmlformats.org/officeDocument/2006/extended-properties" xmlns:vt="http://schemas.openxmlformats.org/officeDocument/2006/docPropsVTypes">
  <Template>natspec.dotm</Template>
  <TotalTime>46</TotalTime>
  <Pages>14</Pages>
  <Words>5381</Words>
  <Characters>30672</Characters>
  <Application>Microsoft Office Word</Application>
  <DocSecurity>0</DocSecurity>
  <Lines>255</Lines>
  <Paragraphs>71</Paragraphs>
  <ScaleCrop>false</ScaleCrop>
  <HeadingPairs>
    <vt:vector size="2" baseType="variant">
      <vt:variant>
        <vt:lpstr>Title</vt:lpstr>
      </vt:variant>
      <vt:variant>
        <vt:i4>1</vt:i4>
      </vt:variant>
    </vt:vector>
  </HeadingPairs>
  <TitlesOfParts>
    <vt:vector size="1" baseType="lpstr">
      <vt:lpstr>NATSPEC Template File</vt:lpstr>
    </vt:vector>
  </TitlesOfParts>
  <Company>Construction Information Systems Australia Pty Ltd</Company>
  <LinksUpToDate>false</LinksUpToDate>
  <CharactersWithSpaces>35982</CharactersWithSpaces>
  <SharedDoc>false</SharedDoc>
  <HLinks>
    <vt:vector size="12" baseType="variant">
      <vt:variant>
        <vt:i4>2687099</vt:i4>
      </vt:variant>
      <vt:variant>
        <vt:i4>3</vt:i4>
      </vt:variant>
      <vt:variant>
        <vt:i4>0</vt:i4>
      </vt:variant>
      <vt:variant>
        <vt:i4>5</vt:i4>
      </vt:variant>
      <vt:variant>
        <vt:lpwstr>http://acumen.architecture.com.au/</vt:lpwstr>
      </vt:variant>
      <vt:variant>
        <vt:lpwstr/>
      </vt:variant>
      <vt:variant>
        <vt:i4>6422589</vt:i4>
      </vt:variant>
      <vt:variant>
        <vt:i4>0</vt:i4>
      </vt:variant>
      <vt:variant>
        <vt:i4>0</vt:i4>
      </vt:variant>
      <vt:variant>
        <vt:i4>5</vt:i4>
      </vt:variant>
      <vt:variant>
        <vt:lpwstr>http://www.natspec.com.au/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0762p ASKIN XFLAM performance panels in cool rooms.docx</dc:title>
  <dc:subject>Apr 26</dc:subject>
  <dc:description>Document generated by PageSeeder.</dc:description>
  <cp:category>07 MECHANICAL</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0x010100A834E7705AF8E94C9F27494AF2908D16</vt:lpwstr>
  </property>
</Properties>
</file>